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ED84" w14:textId="576C4EEB" w:rsidR="00451C94" w:rsidRDefault="005B0193" w:rsidP="00451C94">
      <w:pPr>
        <w:pStyle w:val="Title"/>
        <w:rPr>
          <w:szCs w:val="28"/>
          <w:lang w:val="en-ID"/>
        </w:rPr>
      </w:pPr>
      <w:bookmarkStart w:id="0" w:name="_Hlk78354194"/>
      <w:r>
        <w:rPr>
          <w:noProof/>
          <w:szCs w:val="28"/>
          <w:lang w:eastAsia="id-ID"/>
        </w:rPr>
        <mc:AlternateContent>
          <mc:Choice Requires="wps">
            <w:drawing>
              <wp:anchor distT="0" distB="0" distL="114300" distR="114300" simplePos="0" relativeHeight="251659264" behindDoc="0" locked="0" layoutInCell="1" allowOverlap="1" wp14:anchorId="0D834626" wp14:editId="478360AB">
                <wp:simplePos x="0" y="0"/>
                <wp:positionH relativeFrom="column">
                  <wp:posOffset>-205105</wp:posOffset>
                </wp:positionH>
                <wp:positionV relativeFrom="paragraph">
                  <wp:posOffset>-443230</wp:posOffset>
                </wp:positionV>
                <wp:extent cx="4833938" cy="619125"/>
                <wp:effectExtent l="0" t="0" r="0" b="0"/>
                <wp:wrapNone/>
                <wp:docPr id="8" name="Text Box 8"/>
                <wp:cNvGraphicFramePr/>
                <a:graphic xmlns:a="http://schemas.openxmlformats.org/drawingml/2006/main">
                  <a:graphicData uri="http://schemas.microsoft.com/office/word/2010/wordprocessingShape">
                    <wps:wsp>
                      <wps:cNvSpPr txBox="1"/>
                      <wps:spPr>
                        <a:xfrm>
                          <a:off x="0" y="0"/>
                          <a:ext cx="4833938" cy="619125"/>
                        </a:xfrm>
                        <a:prstGeom prst="rect">
                          <a:avLst/>
                        </a:prstGeom>
                        <a:noFill/>
                        <a:ln w="6350">
                          <a:noFill/>
                        </a:ln>
                      </wps:spPr>
                      <wps:txbx>
                        <w:txbxContent>
                          <w:p w14:paraId="03EF3429" w14:textId="77777777" w:rsidR="00451C94" w:rsidRPr="00451C94" w:rsidRDefault="00451C94" w:rsidP="00451C94">
                            <w:pPr>
                              <w:spacing w:after="0" w:line="240" w:lineRule="auto"/>
                              <w:ind w:left="1170" w:right="45"/>
                              <w:rPr>
                                <w:rFonts w:ascii="Times New Roman" w:eastAsia="Times New Roman" w:hAnsi="Times New Roman" w:cs="Times New Roman"/>
                                <w:b/>
                                <w:sz w:val="20"/>
                                <w:szCs w:val="20"/>
                                <w:lang w:val="en-US"/>
                              </w:rPr>
                            </w:pPr>
                            <w:r w:rsidRPr="00451C94">
                              <w:rPr>
                                <w:rFonts w:ascii="Times New Roman" w:eastAsia="Times New Roman" w:hAnsi="Times New Roman" w:cs="Times New Roman"/>
                                <w:b/>
                                <w:sz w:val="20"/>
                                <w:szCs w:val="20"/>
                                <w:lang w:val="en-US"/>
                              </w:rPr>
                              <w:t xml:space="preserve">SPEKTRA: </w:t>
                            </w:r>
                            <w:proofErr w:type="spellStart"/>
                            <w:r w:rsidRPr="00451C94">
                              <w:rPr>
                                <w:rFonts w:ascii="Times New Roman" w:eastAsia="Times New Roman" w:hAnsi="Times New Roman" w:cs="Times New Roman"/>
                                <w:b/>
                                <w:sz w:val="20"/>
                                <w:szCs w:val="20"/>
                                <w:lang w:val="en-US"/>
                              </w:rPr>
                              <w:t>Jurnal</w:t>
                            </w:r>
                            <w:proofErr w:type="spellEnd"/>
                            <w:r w:rsidRPr="00451C94">
                              <w:rPr>
                                <w:rFonts w:ascii="Times New Roman" w:eastAsia="Times New Roman" w:hAnsi="Times New Roman" w:cs="Times New Roman"/>
                                <w:b/>
                                <w:sz w:val="20"/>
                                <w:szCs w:val="20"/>
                                <w:lang w:val="en-US"/>
                              </w:rPr>
                              <w:t xml:space="preserve"> Kajian Pendidikan Sains</w:t>
                            </w:r>
                          </w:p>
                          <w:p w14:paraId="0AB0CC1C" w14:textId="27072251" w:rsidR="00451C94" w:rsidRPr="00451C94" w:rsidRDefault="00451C94" w:rsidP="00451C94">
                            <w:pPr>
                              <w:tabs>
                                <w:tab w:val="left" w:pos="3675"/>
                              </w:tabs>
                              <w:spacing w:after="0" w:line="240" w:lineRule="auto"/>
                              <w:ind w:left="1170" w:right="45"/>
                              <w:rPr>
                                <w:rFonts w:ascii="Times New Roman" w:eastAsia="Times New Roman" w:hAnsi="Times New Roman" w:cs="Times New Roman"/>
                                <w:sz w:val="20"/>
                                <w:szCs w:val="20"/>
                                <w:lang w:val="en-US"/>
                              </w:rPr>
                            </w:pPr>
                            <w:r w:rsidRPr="00451C94">
                              <w:rPr>
                                <w:rFonts w:ascii="Times New Roman" w:eastAsia="Times New Roman" w:hAnsi="Times New Roman" w:cs="Times New Roman"/>
                                <w:sz w:val="20"/>
                                <w:szCs w:val="20"/>
                                <w:lang w:val="en-US"/>
                              </w:rPr>
                              <w:t xml:space="preserve">Vol. </w:t>
                            </w:r>
                            <w:r w:rsidR="005F545A">
                              <w:rPr>
                                <w:rFonts w:ascii="Times New Roman" w:eastAsia="Times New Roman" w:hAnsi="Times New Roman" w:cs="Times New Roman"/>
                                <w:sz w:val="20"/>
                                <w:szCs w:val="20"/>
                                <w:lang w:val="en-US"/>
                              </w:rPr>
                              <w:t>9</w:t>
                            </w:r>
                            <w:r w:rsidRPr="00451C94">
                              <w:rPr>
                                <w:rFonts w:ascii="Times New Roman" w:eastAsia="Times New Roman" w:hAnsi="Times New Roman" w:cs="Times New Roman"/>
                                <w:sz w:val="20"/>
                                <w:szCs w:val="20"/>
                                <w:lang w:val="en-US"/>
                              </w:rPr>
                              <w:t xml:space="preserve">, No. </w:t>
                            </w:r>
                            <w:r w:rsidR="005F545A">
                              <w:rPr>
                                <w:rFonts w:ascii="Times New Roman" w:eastAsia="Times New Roman" w:hAnsi="Times New Roman" w:cs="Times New Roman"/>
                                <w:sz w:val="20"/>
                                <w:szCs w:val="20"/>
                                <w:lang w:val="en-US"/>
                              </w:rPr>
                              <w:t>1</w:t>
                            </w:r>
                            <w:r w:rsidRPr="00451C94">
                              <w:rPr>
                                <w:rFonts w:ascii="Times New Roman" w:eastAsia="Times New Roman" w:hAnsi="Times New Roman" w:cs="Times New Roman"/>
                                <w:sz w:val="20"/>
                                <w:szCs w:val="20"/>
                                <w:lang w:val="en-US"/>
                              </w:rPr>
                              <w:t xml:space="preserve">, </w:t>
                            </w:r>
                            <w:r w:rsidR="005F545A">
                              <w:rPr>
                                <w:rFonts w:ascii="Times New Roman" w:eastAsia="Times New Roman" w:hAnsi="Times New Roman" w:cs="Times New Roman"/>
                                <w:sz w:val="20"/>
                                <w:szCs w:val="20"/>
                                <w:lang w:val="en-US"/>
                              </w:rPr>
                              <w:t>2023</w:t>
                            </w:r>
                            <w:r w:rsidRPr="00451C94">
                              <w:rPr>
                                <w:rFonts w:ascii="Times New Roman" w:eastAsia="Times New Roman" w:hAnsi="Times New Roman" w:cs="Times New Roman"/>
                                <w:sz w:val="20"/>
                                <w:szCs w:val="20"/>
                                <w:lang w:val="en-US"/>
                              </w:rPr>
                              <w:t xml:space="preserve">, pp. </w:t>
                            </w:r>
                            <w:r w:rsidR="00C53505">
                              <w:rPr>
                                <w:rFonts w:ascii="Times New Roman" w:eastAsia="Times New Roman" w:hAnsi="Times New Roman" w:cs="Times New Roman"/>
                                <w:sz w:val="20"/>
                                <w:szCs w:val="20"/>
                                <w:lang w:val="en-US"/>
                              </w:rPr>
                              <w:t>112</w:t>
                            </w:r>
                            <w:r w:rsidRPr="00451C94">
                              <w:rPr>
                                <w:rFonts w:ascii="Times New Roman" w:eastAsia="Times New Roman" w:hAnsi="Times New Roman" w:cs="Times New Roman"/>
                                <w:sz w:val="20"/>
                                <w:szCs w:val="20"/>
                                <w:lang w:val="en-US"/>
                              </w:rPr>
                              <w:t>~1</w:t>
                            </w:r>
                            <w:r w:rsidR="00C53505">
                              <w:rPr>
                                <w:rFonts w:ascii="Times New Roman" w:eastAsia="Times New Roman" w:hAnsi="Times New Roman" w:cs="Times New Roman"/>
                                <w:sz w:val="20"/>
                                <w:szCs w:val="20"/>
                                <w:lang w:val="en-US"/>
                              </w:rPr>
                              <w:t>23</w:t>
                            </w:r>
                          </w:p>
                          <w:p w14:paraId="3B92FF07" w14:textId="1581B3BC" w:rsidR="00451C94" w:rsidRPr="00451C94" w:rsidRDefault="00451C94" w:rsidP="00451C94">
                            <w:pPr>
                              <w:tabs>
                                <w:tab w:val="right" w:pos="8789"/>
                              </w:tabs>
                              <w:spacing w:after="0" w:line="240" w:lineRule="auto"/>
                              <w:ind w:left="1170"/>
                              <w:rPr>
                                <w:rFonts w:ascii="Times New Roman" w:eastAsia="Times New Roman" w:hAnsi="Times New Roman" w:cs="Times New Roman"/>
                                <w:sz w:val="20"/>
                                <w:szCs w:val="20"/>
                                <w:lang w:val="en-US"/>
                              </w:rPr>
                            </w:pPr>
                            <w:r w:rsidRPr="00451C94">
                              <w:rPr>
                                <w:rFonts w:ascii="Times New Roman" w:eastAsia="Times New Roman" w:hAnsi="Times New Roman" w:cs="Times New Roman"/>
                                <w:sz w:val="20"/>
                                <w:szCs w:val="20"/>
                                <w:lang w:val="en-US"/>
                              </w:rPr>
                              <w:t xml:space="preserve">ISSN: </w:t>
                            </w:r>
                            <w:r w:rsidR="005B0193">
                              <w:rPr>
                                <w:rFonts w:ascii="Times New Roman" w:eastAsia="Times New Roman" w:hAnsi="Times New Roman" w:cs="Times New Roman"/>
                                <w:sz w:val="20"/>
                                <w:szCs w:val="20"/>
                                <w:lang w:val="en-US"/>
                              </w:rPr>
                              <w:t>2548</w:t>
                            </w:r>
                            <w:r w:rsidRPr="00451C94">
                              <w:rPr>
                                <w:rFonts w:ascii="Times New Roman" w:eastAsia="Times New Roman" w:hAnsi="Times New Roman" w:cs="Times New Roman"/>
                                <w:sz w:val="20"/>
                                <w:szCs w:val="20"/>
                                <w:lang w:val="en-US"/>
                              </w:rPr>
                              <w:t>-</w:t>
                            </w:r>
                            <w:r w:rsidR="005B0193">
                              <w:rPr>
                                <w:rFonts w:ascii="Times New Roman" w:eastAsia="Times New Roman" w:hAnsi="Times New Roman" w:cs="Times New Roman"/>
                                <w:sz w:val="20"/>
                                <w:szCs w:val="20"/>
                                <w:lang w:val="en-US"/>
                              </w:rPr>
                              <w:t>642X</w:t>
                            </w:r>
                            <w:r w:rsidRPr="00451C94">
                              <w:rPr>
                                <w:rFonts w:ascii="Times New Roman" w:eastAsia="Times New Roman" w:hAnsi="Times New Roman" w:cs="Times New Roman"/>
                                <w:sz w:val="20"/>
                                <w:szCs w:val="20"/>
                                <w:lang w:val="en-US"/>
                              </w:rPr>
                              <w:t xml:space="preserve">, DOI: </w:t>
                            </w:r>
                            <w:r w:rsidR="005B0193" w:rsidRPr="005B0193">
                              <w:rPr>
                                <w:rFonts w:ascii="Times New Roman" w:eastAsia="Times New Roman" w:hAnsi="Times New Roman" w:cs="Times New Roman"/>
                                <w:sz w:val="20"/>
                                <w:szCs w:val="20"/>
                                <w:lang w:val="en-US"/>
                              </w:rPr>
                              <w:t>http://dx.doi.org/10.32699/spektra.v9i1</w:t>
                            </w:r>
                            <w:r w:rsidRPr="00451C94">
                              <w:rPr>
                                <w:rFonts w:ascii="Times New Roman" w:eastAsia="Times New Roman" w:hAnsi="Times New Roman" w:cs="Times New Roman"/>
                                <w:sz w:val="20"/>
                                <w:szCs w:val="20"/>
                                <w:lang w:val="en-US"/>
                              </w:rPr>
                              <w:t>.</w:t>
                            </w:r>
                            <w:r w:rsidR="00C53505">
                              <w:rPr>
                                <w:rFonts w:ascii="Times New Roman" w:eastAsia="Times New Roman" w:hAnsi="Times New Roman" w:cs="Times New Roman"/>
                                <w:sz w:val="20"/>
                                <w:szCs w:val="20"/>
                                <w:lang w:val="en-US"/>
                              </w:rPr>
                              <w:t>394</w:t>
                            </w:r>
                            <w:r w:rsidRPr="00451C94">
                              <w:rPr>
                                <w:rFonts w:ascii="Times New Roman" w:eastAsia="Times New Roman" w:hAnsi="Times New Roman" w:cs="Times New Roman"/>
                                <w:sz w:val="20"/>
                                <w:szCs w:val="20"/>
                                <w:lang w:val="en-US"/>
                              </w:rPr>
                              <w:tab/>
                              <w:t xml:space="preserve">    </w:t>
                            </w:r>
                          </w:p>
                          <w:p w14:paraId="114E7382" w14:textId="77777777" w:rsidR="00451C94" w:rsidRDefault="00451C94" w:rsidP="00451C94">
                            <w:pPr>
                              <w:ind w:left="11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34626" id="_x0000_t202" coordsize="21600,21600" o:spt="202" path="m,l,21600r21600,l21600,xe">
                <v:stroke joinstyle="miter"/>
                <v:path gradientshapeok="t" o:connecttype="rect"/>
              </v:shapetype>
              <v:shape id="Text Box 8" o:spid="_x0000_s1026" type="#_x0000_t202" style="position:absolute;left:0;text-align:left;margin-left:-16.15pt;margin-top:-34.9pt;width:380.6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" filled="f" stroked="f" strokeweight=".5pt">
                <v:textbox>
                  <w:txbxContent>
                    <w:p w14:paraId="03EF3429" w14:textId="77777777" w:rsidR="00451C94" w:rsidRPr="00451C94" w:rsidRDefault="00451C94" w:rsidP="00451C94">
                      <w:pPr>
                        <w:spacing w:after="0" w:line="240" w:lineRule="auto"/>
                        <w:ind w:left="1170" w:right="45"/>
                        <w:rPr>
                          <w:rFonts w:ascii="Times New Roman" w:eastAsia="Times New Roman" w:hAnsi="Times New Roman" w:cs="Times New Roman"/>
                          <w:b/>
                          <w:sz w:val="20"/>
                          <w:szCs w:val="20"/>
                          <w:lang w:val="en-US"/>
                        </w:rPr>
                      </w:pPr>
                      <w:r w:rsidRPr="00451C94">
                        <w:rPr>
                          <w:rFonts w:ascii="Times New Roman" w:eastAsia="Times New Roman" w:hAnsi="Times New Roman" w:cs="Times New Roman"/>
                          <w:b/>
                          <w:sz w:val="20"/>
                          <w:szCs w:val="20"/>
                          <w:lang w:val="en-US"/>
                        </w:rPr>
                        <w:t xml:space="preserve">SPEKTRA: </w:t>
                      </w:r>
                      <w:proofErr w:type="spellStart"/>
                      <w:r w:rsidRPr="00451C94">
                        <w:rPr>
                          <w:rFonts w:ascii="Times New Roman" w:eastAsia="Times New Roman" w:hAnsi="Times New Roman" w:cs="Times New Roman"/>
                          <w:b/>
                          <w:sz w:val="20"/>
                          <w:szCs w:val="20"/>
                          <w:lang w:val="en-US"/>
                        </w:rPr>
                        <w:t>Jurnal</w:t>
                      </w:r>
                      <w:proofErr w:type="spellEnd"/>
                      <w:r w:rsidRPr="00451C94">
                        <w:rPr>
                          <w:rFonts w:ascii="Times New Roman" w:eastAsia="Times New Roman" w:hAnsi="Times New Roman" w:cs="Times New Roman"/>
                          <w:b/>
                          <w:sz w:val="20"/>
                          <w:szCs w:val="20"/>
                          <w:lang w:val="en-US"/>
                        </w:rPr>
                        <w:t xml:space="preserve"> Kajian Pendidikan Sains</w:t>
                      </w:r>
                    </w:p>
                    <w:p w14:paraId="0AB0CC1C" w14:textId="27072251" w:rsidR="00451C94" w:rsidRPr="00451C94" w:rsidRDefault="00451C94" w:rsidP="00451C94">
                      <w:pPr>
                        <w:tabs>
                          <w:tab w:val="left" w:pos="3675"/>
                        </w:tabs>
                        <w:spacing w:after="0" w:line="240" w:lineRule="auto"/>
                        <w:ind w:left="1170" w:right="45"/>
                        <w:rPr>
                          <w:rFonts w:ascii="Times New Roman" w:eastAsia="Times New Roman" w:hAnsi="Times New Roman" w:cs="Times New Roman"/>
                          <w:sz w:val="20"/>
                          <w:szCs w:val="20"/>
                          <w:lang w:val="en-US"/>
                        </w:rPr>
                      </w:pPr>
                      <w:r w:rsidRPr="00451C94">
                        <w:rPr>
                          <w:rFonts w:ascii="Times New Roman" w:eastAsia="Times New Roman" w:hAnsi="Times New Roman" w:cs="Times New Roman"/>
                          <w:sz w:val="20"/>
                          <w:szCs w:val="20"/>
                          <w:lang w:val="en-US"/>
                        </w:rPr>
                        <w:t xml:space="preserve">Vol. </w:t>
                      </w:r>
                      <w:r w:rsidR="005F545A">
                        <w:rPr>
                          <w:rFonts w:ascii="Times New Roman" w:eastAsia="Times New Roman" w:hAnsi="Times New Roman" w:cs="Times New Roman"/>
                          <w:sz w:val="20"/>
                          <w:szCs w:val="20"/>
                          <w:lang w:val="en-US"/>
                        </w:rPr>
                        <w:t>9</w:t>
                      </w:r>
                      <w:r w:rsidRPr="00451C94">
                        <w:rPr>
                          <w:rFonts w:ascii="Times New Roman" w:eastAsia="Times New Roman" w:hAnsi="Times New Roman" w:cs="Times New Roman"/>
                          <w:sz w:val="20"/>
                          <w:szCs w:val="20"/>
                          <w:lang w:val="en-US"/>
                        </w:rPr>
                        <w:t xml:space="preserve">, No. </w:t>
                      </w:r>
                      <w:r w:rsidR="005F545A">
                        <w:rPr>
                          <w:rFonts w:ascii="Times New Roman" w:eastAsia="Times New Roman" w:hAnsi="Times New Roman" w:cs="Times New Roman"/>
                          <w:sz w:val="20"/>
                          <w:szCs w:val="20"/>
                          <w:lang w:val="en-US"/>
                        </w:rPr>
                        <w:t>1</w:t>
                      </w:r>
                      <w:r w:rsidRPr="00451C94">
                        <w:rPr>
                          <w:rFonts w:ascii="Times New Roman" w:eastAsia="Times New Roman" w:hAnsi="Times New Roman" w:cs="Times New Roman"/>
                          <w:sz w:val="20"/>
                          <w:szCs w:val="20"/>
                          <w:lang w:val="en-US"/>
                        </w:rPr>
                        <w:t xml:space="preserve">, </w:t>
                      </w:r>
                      <w:r w:rsidR="005F545A">
                        <w:rPr>
                          <w:rFonts w:ascii="Times New Roman" w:eastAsia="Times New Roman" w:hAnsi="Times New Roman" w:cs="Times New Roman"/>
                          <w:sz w:val="20"/>
                          <w:szCs w:val="20"/>
                          <w:lang w:val="en-US"/>
                        </w:rPr>
                        <w:t>2023</w:t>
                      </w:r>
                      <w:r w:rsidRPr="00451C94">
                        <w:rPr>
                          <w:rFonts w:ascii="Times New Roman" w:eastAsia="Times New Roman" w:hAnsi="Times New Roman" w:cs="Times New Roman"/>
                          <w:sz w:val="20"/>
                          <w:szCs w:val="20"/>
                          <w:lang w:val="en-US"/>
                        </w:rPr>
                        <w:t xml:space="preserve">, pp. </w:t>
                      </w:r>
                      <w:r w:rsidR="00C53505">
                        <w:rPr>
                          <w:rFonts w:ascii="Times New Roman" w:eastAsia="Times New Roman" w:hAnsi="Times New Roman" w:cs="Times New Roman"/>
                          <w:sz w:val="20"/>
                          <w:szCs w:val="20"/>
                          <w:lang w:val="en-US"/>
                        </w:rPr>
                        <w:t>112</w:t>
                      </w:r>
                      <w:r w:rsidRPr="00451C94">
                        <w:rPr>
                          <w:rFonts w:ascii="Times New Roman" w:eastAsia="Times New Roman" w:hAnsi="Times New Roman" w:cs="Times New Roman"/>
                          <w:sz w:val="20"/>
                          <w:szCs w:val="20"/>
                          <w:lang w:val="en-US"/>
                        </w:rPr>
                        <w:t>~1</w:t>
                      </w:r>
                      <w:r w:rsidR="00C53505">
                        <w:rPr>
                          <w:rFonts w:ascii="Times New Roman" w:eastAsia="Times New Roman" w:hAnsi="Times New Roman" w:cs="Times New Roman"/>
                          <w:sz w:val="20"/>
                          <w:szCs w:val="20"/>
                          <w:lang w:val="en-US"/>
                        </w:rPr>
                        <w:t>23</w:t>
                      </w:r>
                    </w:p>
                    <w:p w14:paraId="3B92FF07" w14:textId="1581B3BC" w:rsidR="00451C94" w:rsidRPr="00451C94" w:rsidRDefault="00451C94" w:rsidP="00451C94">
                      <w:pPr>
                        <w:tabs>
                          <w:tab w:val="right" w:pos="8789"/>
                        </w:tabs>
                        <w:spacing w:after="0" w:line="240" w:lineRule="auto"/>
                        <w:ind w:left="1170"/>
                        <w:rPr>
                          <w:rFonts w:ascii="Times New Roman" w:eastAsia="Times New Roman" w:hAnsi="Times New Roman" w:cs="Times New Roman"/>
                          <w:sz w:val="20"/>
                          <w:szCs w:val="20"/>
                          <w:lang w:val="en-US"/>
                        </w:rPr>
                      </w:pPr>
                      <w:r w:rsidRPr="00451C94">
                        <w:rPr>
                          <w:rFonts w:ascii="Times New Roman" w:eastAsia="Times New Roman" w:hAnsi="Times New Roman" w:cs="Times New Roman"/>
                          <w:sz w:val="20"/>
                          <w:szCs w:val="20"/>
                          <w:lang w:val="en-US"/>
                        </w:rPr>
                        <w:t xml:space="preserve">ISSN: </w:t>
                      </w:r>
                      <w:r w:rsidR="005B0193">
                        <w:rPr>
                          <w:rFonts w:ascii="Times New Roman" w:eastAsia="Times New Roman" w:hAnsi="Times New Roman" w:cs="Times New Roman"/>
                          <w:sz w:val="20"/>
                          <w:szCs w:val="20"/>
                          <w:lang w:val="en-US"/>
                        </w:rPr>
                        <w:t>2548</w:t>
                      </w:r>
                      <w:r w:rsidRPr="00451C94">
                        <w:rPr>
                          <w:rFonts w:ascii="Times New Roman" w:eastAsia="Times New Roman" w:hAnsi="Times New Roman" w:cs="Times New Roman"/>
                          <w:sz w:val="20"/>
                          <w:szCs w:val="20"/>
                          <w:lang w:val="en-US"/>
                        </w:rPr>
                        <w:t>-</w:t>
                      </w:r>
                      <w:r w:rsidR="005B0193">
                        <w:rPr>
                          <w:rFonts w:ascii="Times New Roman" w:eastAsia="Times New Roman" w:hAnsi="Times New Roman" w:cs="Times New Roman"/>
                          <w:sz w:val="20"/>
                          <w:szCs w:val="20"/>
                          <w:lang w:val="en-US"/>
                        </w:rPr>
                        <w:t>642X</w:t>
                      </w:r>
                      <w:r w:rsidRPr="00451C94">
                        <w:rPr>
                          <w:rFonts w:ascii="Times New Roman" w:eastAsia="Times New Roman" w:hAnsi="Times New Roman" w:cs="Times New Roman"/>
                          <w:sz w:val="20"/>
                          <w:szCs w:val="20"/>
                          <w:lang w:val="en-US"/>
                        </w:rPr>
                        <w:t xml:space="preserve">, DOI: </w:t>
                      </w:r>
                      <w:r w:rsidR="005B0193" w:rsidRPr="005B0193">
                        <w:rPr>
                          <w:rFonts w:ascii="Times New Roman" w:eastAsia="Times New Roman" w:hAnsi="Times New Roman" w:cs="Times New Roman"/>
                          <w:sz w:val="20"/>
                          <w:szCs w:val="20"/>
                          <w:lang w:val="en-US"/>
                        </w:rPr>
                        <w:t>http://dx.doi.org/10.32699/spektra.v9i1</w:t>
                      </w:r>
                      <w:r w:rsidRPr="00451C94">
                        <w:rPr>
                          <w:rFonts w:ascii="Times New Roman" w:eastAsia="Times New Roman" w:hAnsi="Times New Roman" w:cs="Times New Roman"/>
                          <w:sz w:val="20"/>
                          <w:szCs w:val="20"/>
                          <w:lang w:val="en-US"/>
                        </w:rPr>
                        <w:t>.</w:t>
                      </w:r>
                      <w:r w:rsidR="00C53505">
                        <w:rPr>
                          <w:rFonts w:ascii="Times New Roman" w:eastAsia="Times New Roman" w:hAnsi="Times New Roman" w:cs="Times New Roman"/>
                          <w:sz w:val="20"/>
                          <w:szCs w:val="20"/>
                          <w:lang w:val="en-US"/>
                        </w:rPr>
                        <w:t>394</w:t>
                      </w:r>
                      <w:r w:rsidRPr="00451C94">
                        <w:rPr>
                          <w:rFonts w:ascii="Times New Roman" w:eastAsia="Times New Roman" w:hAnsi="Times New Roman" w:cs="Times New Roman"/>
                          <w:sz w:val="20"/>
                          <w:szCs w:val="20"/>
                          <w:lang w:val="en-US"/>
                        </w:rPr>
                        <w:tab/>
                        <w:t xml:space="preserve">    </w:t>
                      </w:r>
                    </w:p>
                    <w:p w14:paraId="114E7382" w14:textId="77777777" w:rsidR="00451C94" w:rsidRDefault="00451C94" w:rsidP="00451C94">
                      <w:pPr>
                        <w:ind w:left="1170"/>
                      </w:pPr>
                    </w:p>
                  </w:txbxContent>
                </v:textbox>
              </v:shape>
            </w:pict>
          </mc:Fallback>
        </mc:AlternateContent>
      </w:r>
      <w:r w:rsidR="00451C94">
        <w:rPr>
          <w:noProof/>
          <w:szCs w:val="28"/>
          <w:lang w:eastAsia="id-ID"/>
        </w:rPr>
        <mc:AlternateContent>
          <mc:Choice Requires="wps">
            <w:drawing>
              <wp:anchor distT="0" distB="0" distL="114300" distR="114300" simplePos="0" relativeHeight="251658239" behindDoc="0" locked="0" layoutInCell="1" allowOverlap="1" wp14:anchorId="01F1D0F5" wp14:editId="5FB9CB65">
                <wp:simplePos x="0" y="0"/>
                <wp:positionH relativeFrom="column">
                  <wp:posOffset>-138430</wp:posOffset>
                </wp:positionH>
                <wp:positionV relativeFrom="paragraph">
                  <wp:posOffset>-538480</wp:posOffset>
                </wp:positionV>
                <wp:extent cx="5915025" cy="666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5915025" cy="666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E6F9A" id="Rectangle 13" o:spid="_x0000_s1026" style="position:absolute;margin-left:-10.9pt;margin-top:-42.4pt;width:465.75pt;height:52.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" fillcolor="white [3212]" strokecolor="white [3212]" strokeweight="1pt"/>
            </w:pict>
          </mc:Fallback>
        </mc:AlternateContent>
      </w:r>
      <w:r w:rsidR="00451C94" w:rsidRPr="00451C94">
        <w:rPr>
          <w:rFonts w:eastAsia="MS Mincho"/>
          <w:noProof/>
          <w:szCs w:val="20"/>
          <w:lang w:eastAsia="id-ID"/>
        </w:rPr>
        <w:drawing>
          <wp:anchor distT="0" distB="0" distL="114300" distR="114300" simplePos="0" relativeHeight="251660288" behindDoc="0" locked="0" layoutInCell="1" allowOverlap="1" wp14:anchorId="6CA6C146" wp14:editId="54518F18">
            <wp:simplePos x="0" y="0"/>
            <wp:positionH relativeFrom="column">
              <wp:posOffset>-5080</wp:posOffset>
            </wp:positionH>
            <wp:positionV relativeFrom="paragraph">
              <wp:posOffset>-422910</wp:posOffset>
            </wp:positionV>
            <wp:extent cx="476250" cy="476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URNAL SPEKTRA\LOGO SPEKT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C94" w:rsidRPr="00451C94">
        <w:rPr>
          <w:noProof/>
          <w:sz w:val="20"/>
          <w:szCs w:val="20"/>
          <w:lang w:eastAsia="id-ID"/>
        </w:rPr>
        <mc:AlternateContent>
          <mc:Choice Requires="wps">
            <w:drawing>
              <wp:anchor distT="0" distB="0" distL="114300" distR="114300" simplePos="0" relativeHeight="251662336" behindDoc="0" locked="0" layoutInCell="1" allowOverlap="1" wp14:anchorId="57EB6CE6" wp14:editId="7DBDA3F2">
                <wp:simplePos x="0" y="0"/>
                <wp:positionH relativeFrom="column">
                  <wp:posOffset>0</wp:posOffset>
                </wp:positionH>
                <wp:positionV relativeFrom="paragraph">
                  <wp:posOffset>132715</wp:posOffset>
                </wp:positionV>
                <wp:extent cx="5772150" cy="0"/>
                <wp:effectExtent l="0" t="0" r="19050" b="190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4B219" id="_x0000_t32" coordsize="21600,21600" o:spt="32" o:oned="t" path="m,l21600,21600e" filled="f">
                <v:path arrowok="t" fillok="f" o:connecttype="none"/>
                <o:lock v:ext="edit" shapetype="t"/>
              </v:shapetype>
              <v:shape id="AutoShape 6" o:spid="_x0000_s1026" type="#_x0000_t32" style="position:absolute;margin-left:0;margin-top:10.45pt;width:454.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"/>
            </w:pict>
          </mc:Fallback>
        </mc:AlternateContent>
      </w:r>
    </w:p>
    <w:bookmarkEnd w:id="0"/>
    <w:p w14:paraId="7393D504" w14:textId="6934089F" w:rsidR="00451C94" w:rsidRPr="0072313A" w:rsidRDefault="0072313A" w:rsidP="00D93839">
      <w:pPr>
        <w:pStyle w:val="Title"/>
        <w:rPr>
          <w:szCs w:val="28"/>
          <w:lang w:val="en-US"/>
        </w:rPr>
      </w:pPr>
      <w:r w:rsidRPr="0072313A">
        <w:rPr>
          <w:szCs w:val="28"/>
          <w:lang w:val="en-US"/>
        </w:rPr>
        <w:t xml:space="preserve">21st CENTURY DIGITAL SKILLS: COMMUNICATION, </w:t>
      </w:r>
      <w:r w:rsidR="00C27002" w:rsidRPr="0072313A">
        <w:rPr>
          <w:szCs w:val="28"/>
          <w:lang w:val="en-US"/>
        </w:rPr>
        <w:t>COLLABORATION</w:t>
      </w:r>
      <w:r w:rsidR="00C27002">
        <w:rPr>
          <w:szCs w:val="28"/>
          <w:lang w:val="en-US"/>
        </w:rPr>
        <w:t xml:space="preserve">, </w:t>
      </w:r>
      <w:r w:rsidRPr="0072313A">
        <w:rPr>
          <w:szCs w:val="28"/>
          <w:lang w:val="en-US"/>
        </w:rPr>
        <w:t xml:space="preserve">CREATIVITY, CRITICAL THINKING IN </w:t>
      </w:r>
      <w:r w:rsidR="00102863">
        <w:rPr>
          <w:szCs w:val="28"/>
          <w:lang w:val="en-US"/>
        </w:rPr>
        <w:t>PRE-SERVICE</w:t>
      </w:r>
      <w:r w:rsidRPr="0072313A">
        <w:rPr>
          <w:szCs w:val="28"/>
          <w:lang w:val="en-US"/>
        </w:rPr>
        <w:t xml:space="preserve"> PHYSICS TEACHER</w:t>
      </w:r>
    </w:p>
    <w:p w14:paraId="3E76BAF0" w14:textId="77777777" w:rsidR="00451C94" w:rsidRPr="00451C94" w:rsidRDefault="00451C94" w:rsidP="00451C94">
      <w:pPr>
        <w:spacing w:after="0" w:line="240" w:lineRule="auto"/>
        <w:jc w:val="center"/>
        <w:rPr>
          <w:rFonts w:ascii="Times New Roman" w:hAnsi="Times New Roman" w:cs="Times New Roman"/>
          <w:b/>
          <w:bCs/>
        </w:rPr>
      </w:pPr>
    </w:p>
    <w:p w14:paraId="6BEE6A4B" w14:textId="287DFED7" w:rsidR="00451C94" w:rsidRPr="0072313A" w:rsidRDefault="00D93839" w:rsidP="001D08F3">
      <w:pPr>
        <w:spacing w:after="0" w:line="240" w:lineRule="auto"/>
        <w:ind w:left="-90" w:right="-96"/>
        <w:jc w:val="center"/>
        <w:rPr>
          <w:rFonts w:ascii="Times New Roman" w:hAnsi="Times New Roman" w:cs="Times New Roman"/>
          <w:b/>
          <w:bCs/>
          <w:sz w:val="20"/>
          <w:szCs w:val="20"/>
          <w:vertAlign w:val="superscript"/>
        </w:rPr>
      </w:pPr>
      <w:r w:rsidRPr="0072313A">
        <w:rPr>
          <w:rFonts w:ascii="Times New Roman" w:hAnsi="Times New Roman" w:cs="Times New Roman"/>
          <w:b/>
          <w:bCs/>
          <w:sz w:val="20"/>
          <w:szCs w:val="20"/>
        </w:rPr>
        <w:t>Firdaus</w:t>
      </w:r>
      <w:r w:rsidR="00451C94" w:rsidRPr="0072313A">
        <w:rPr>
          <w:rFonts w:ascii="Times New Roman" w:hAnsi="Times New Roman" w:cs="Times New Roman"/>
          <w:b/>
          <w:bCs/>
          <w:sz w:val="20"/>
          <w:szCs w:val="20"/>
          <w:vertAlign w:val="superscript"/>
        </w:rPr>
        <w:t>1</w:t>
      </w:r>
      <w:r w:rsidR="00451C94" w:rsidRPr="0072313A">
        <w:rPr>
          <w:rFonts w:ascii="Times New Roman" w:hAnsi="Times New Roman" w:cs="Times New Roman"/>
          <w:b/>
          <w:bCs/>
          <w:sz w:val="20"/>
          <w:szCs w:val="20"/>
        </w:rPr>
        <w:t xml:space="preserve">, </w:t>
      </w:r>
      <w:r w:rsidR="001D08F3" w:rsidRPr="001D08F3">
        <w:rPr>
          <w:rFonts w:ascii="Times New Roman" w:hAnsi="Times New Roman" w:cs="Times New Roman"/>
          <w:b/>
          <w:bCs/>
          <w:sz w:val="20"/>
          <w:szCs w:val="20"/>
        </w:rPr>
        <w:t>Ahmad Khoiri</w:t>
      </w:r>
      <w:r w:rsidR="0072313A" w:rsidRPr="0072313A">
        <w:rPr>
          <w:rFonts w:ascii="Times New Roman" w:hAnsi="Times New Roman" w:cs="Times New Roman"/>
          <w:b/>
          <w:bCs/>
          <w:sz w:val="20"/>
          <w:szCs w:val="20"/>
          <w:vertAlign w:val="superscript"/>
        </w:rPr>
        <w:t>1</w:t>
      </w:r>
      <w:r w:rsidR="00451C94" w:rsidRPr="0072313A">
        <w:rPr>
          <w:rFonts w:ascii="Times New Roman" w:hAnsi="Times New Roman" w:cs="Times New Roman"/>
          <w:b/>
          <w:bCs/>
          <w:sz w:val="20"/>
          <w:szCs w:val="20"/>
        </w:rPr>
        <w:t xml:space="preserve">, </w:t>
      </w:r>
      <w:r w:rsidR="00C40C7A" w:rsidRPr="00C40C7A">
        <w:rPr>
          <w:rFonts w:ascii="Times New Roman" w:hAnsi="Times New Roman" w:cs="Times New Roman"/>
          <w:b/>
          <w:bCs/>
          <w:sz w:val="20"/>
          <w:szCs w:val="20"/>
        </w:rPr>
        <w:t>Nugroho Prasetya Adi</w:t>
      </w:r>
      <w:r w:rsidRPr="0072313A">
        <w:rPr>
          <w:rFonts w:ascii="Times New Roman" w:hAnsi="Times New Roman" w:cs="Times New Roman"/>
          <w:b/>
          <w:bCs/>
          <w:sz w:val="20"/>
          <w:szCs w:val="20"/>
          <w:vertAlign w:val="superscript"/>
        </w:rPr>
        <w:t>1</w:t>
      </w:r>
      <w:r w:rsidR="0072313A" w:rsidRPr="0072313A">
        <w:rPr>
          <w:rFonts w:ascii="Times New Roman" w:hAnsi="Times New Roman" w:cs="Times New Roman"/>
          <w:b/>
          <w:bCs/>
          <w:sz w:val="20"/>
          <w:szCs w:val="20"/>
        </w:rPr>
        <w:t>, Muhammad Najib Al Adib</w:t>
      </w:r>
      <w:r w:rsidR="0072313A" w:rsidRPr="0072313A">
        <w:rPr>
          <w:rFonts w:ascii="Times New Roman" w:hAnsi="Times New Roman" w:cs="Times New Roman"/>
          <w:b/>
          <w:bCs/>
          <w:sz w:val="20"/>
          <w:szCs w:val="20"/>
          <w:vertAlign w:val="superscript"/>
        </w:rPr>
        <w:t>1</w:t>
      </w:r>
      <w:r w:rsidR="0072313A" w:rsidRPr="0072313A">
        <w:rPr>
          <w:rFonts w:ascii="Times New Roman" w:hAnsi="Times New Roman" w:cs="Times New Roman"/>
          <w:b/>
          <w:bCs/>
          <w:sz w:val="20"/>
          <w:szCs w:val="20"/>
        </w:rPr>
        <w:t>, Eli Trisnowati</w:t>
      </w:r>
      <w:r w:rsidR="0072313A" w:rsidRPr="0072313A">
        <w:rPr>
          <w:rFonts w:ascii="Times New Roman" w:hAnsi="Times New Roman" w:cs="Times New Roman"/>
          <w:b/>
          <w:bCs/>
          <w:sz w:val="20"/>
          <w:szCs w:val="20"/>
          <w:vertAlign w:val="superscript"/>
        </w:rPr>
        <w:t>2</w:t>
      </w:r>
      <w:r w:rsidR="0072313A" w:rsidRPr="0072313A">
        <w:rPr>
          <w:rFonts w:ascii="Times New Roman" w:hAnsi="Times New Roman" w:cs="Times New Roman"/>
          <w:b/>
          <w:bCs/>
          <w:sz w:val="20"/>
          <w:szCs w:val="20"/>
        </w:rPr>
        <w:t>, Mila Ariyani</w:t>
      </w:r>
      <w:r w:rsidR="0072313A" w:rsidRPr="0072313A">
        <w:rPr>
          <w:rFonts w:ascii="Times New Roman" w:hAnsi="Times New Roman" w:cs="Times New Roman"/>
          <w:b/>
          <w:bCs/>
          <w:sz w:val="20"/>
          <w:szCs w:val="20"/>
          <w:vertAlign w:val="superscript"/>
        </w:rPr>
        <w:t>1</w:t>
      </w:r>
    </w:p>
    <w:p w14:paraId="3470A8AC" w14:textId="47095828" w:rsidR="00451C94" w:rsidRPr="0072313A" w:rsidRDefault="00451C94" w:rsidP="0072313A">
      <w:pPr>
        <w:spacing w:after="0" w:line="240" w:lineRule="auto"/>
        <w:ind w:left="-90" w:right="-96"/>
        <w:jc w:val="center"/>
        <w:rPr>
          <w:rFonts w:ascii="Times New Roman" w:hAnsi="Times New Roman" w:cs="Times New Roman"/>
          <w:sz w:val="18"/>
          <w:szCs w:val="18"/>
          <w:lang w:val="en-US"/>
        </w:rPr>
      </w:pPr>
      <w:bookmarkStart w:id="1" w:name="_Hlk78440884"/>
      <w:r w:rsidRPr="00451C94">
        <w:rPr>
          <w:rFonts w:ascii="Times New Roman" w:hAnsi="Times New Roman" w:cs="Times New Roman"/>
          <w:sz w:val="18"/>
          <w:szCs w:val="18"/>
          <w:vertAlign w:val="superscript"/>
        </w:rPr>
        <w:t>1</w:t>
      </w:r>
      <w:r w:rsidRPr="00451C94">
        <w:rPr>
          <w:rFonts w:ascii="Times New Roman" w:hAnsi="Times New Roman" w:cs="Times New Roman"/>
          <w:sz w:val="18"/>
          <w:szCs w:val="18"/>
        </w:rPr>
        <w:t xml:space="preserve">Department of Physics Education, Faculty of </w:t>
      </w:r>
      <w:r w:rsidR="0072313A" w:rsidRPr="0072313A">
        <w:rPr>
          <w:rFonts w:ascii="Times New Roman" w:hAnsi="Times New Roman" w:cs="Times New Roman"/>
          <w:sz w:val="18"/>
          <w:szCs w:val="18"/>
        </w:rPr>
        <w:t>Tarbiyah and Teacher Training</w:t>
      </w:r>
      <w:r w:rsidRPr="00451C94">
        <w:rPr>
          <w:rFonts w:ascii="Times New Roman" w:hAnsi="Times New Roman" w:cs="Times New Roman"/>
          <w:sz w:val="18"/>
          <w:szCs w:val="18"/>
        </w:rPr>
        <w:t xml:space="preserve">, Universitas Sains Al-Qur’an, Wonosobo, </w:t>
      </w:r>
      <w:bookmarkStart w:id="2" w:name="_Hlk132454752"/>
      <w:r w:rsidRPr="00451C94">
        <w:rPr>
          <w:rFonts w:ascii="Times New Roman" w:hAnsi="Times New Roman" w:cs="Times New Roman"/>
          <w:sz w:val="18"/>
          <w:szCs w:val="18"/>
        </w:rPr>
        <w:t>Indonesi</w:t>
      </w:r>
      <w:r w:rsidR="0072313A">
        <w:rPr>
          <w:rFonts w:ascii="Times New Roman" w:hAnsi="Times New Roman" w:cs="Times New Roman"/>
          <w:sz w:val="18"/>
          <w:szCs w:val="18"/>
          <w:lang w:val="en-US"/>
        </w:rPr>
        <w:t>a</w:t>
      </w:r>
      <w:bookmarkEnd w:id="2"/>
    </w:p>
    <w:p w14:paraId="610397D6" w14:textId="0A2C1AFD" w:rsidR="00451C94" w:rsidRPr="00451C94" w:rsidRDefault="00451C94" w:rsidP="00451C94">
      <w:pPr>
        <w:spacing w:after="0" w:line="240" w:lineRule="auto"/>
        <w:jc w:val="center"/>
        <w:rPr>
          <w:rFonts w:ascii="Times New Roman" w:hAnsi="Times New Roman" w:cs="Times New Roman"/>
          <w:sz w:val="18"/>
          <w:szCs w:val="18"/>
        </w:rPr>
      </w:pPr>
      <w:r w:rsidRPr="00451C94">
        <w:rPr>
          <w:rFonts w:ascii="Times New Roman" w:hAnsi="Times New Roman" w:cs="Times New Roman"/>
          <w:sz w:val="18"/>
          <w:szCs w:val="18"/>
          <w:vertAlign w:val="superscript"/>
        </w:rPr>
        <w:t>2</w:t>
      </w:r>
      <w:r w:rsidRPr="00451C94">
        <w:rPr>
          <w:rFonts w:ascii="Times New Roman" w:hAnsi="Times New Roman" w:cs="Times New Roman"/>
          <w:sz w:val="18"/>
          <w:szCs w:val="18"/>
        </w:rPr>
        <w:t xml:space="preserve">Department of </w:t>
      </w:r>
      <w:r w:rsidR="0072313A">
        <w:rPr>
          <w:rFonts w:ascii="Times New Roman" w:hAnsi="Times New Roman" w:cs="Times New Roman"/>
          <w:sz w:val="18"/>
          <w:szCs w:val="18"/>
          <w:lang w:val="en-US"/>
        </w:rPr>
        <w:t>Science Education</w:t>
      </w:r>
      <w:r w:rsidRPr="00451C94">
        <w:rPr>
          <w:rFonts w:ascii="Times New Roman" w:hAnsi="Times New Roman" w:cs="Times New Roman"/>
          <w:sz w:val="18"/>
          <w:szCs w:val="18"/>
        </w:rPr>
        <w:t xml:space="preserve">, </w:t>
      </w:r>
      <w:r w:rsidR="0072313A" w:rsidRPr="0072313A">
        <w:rPr>
          <w:rFonts w:ascii="Times New Roman" w:hAnsi="Times New Roman" w:cs="Times New Roman"/>
          <w:sz w:val="18"/>
          <w:szCs w:val="18"/>
        </w:rPr>
        <w:t>Faculty of Teacher Training and Education</w:t>
      </w:r>
      <w:r w:rsidRPr="00451C94">
        <w:rPr>
          <w:rFonts w:ascii="Times New Roman" w:hAnsi="Times New Roman" w:cs="Times New Roman"/>
          <w:sz w:val="18"/>
          <w:szCs w:val="18"/>
        </w:rPr>
        <w:t xml:space="preserve">, </w:t>
      </w:r>
      <w:r w:rsidR="0072313A">
        <w:rPr>
          <w:rFonts w:ascii="Times New Roman" w:hAnsi="Times New Roman" w:cs="Times New Roman"/>
          <w:sz w:val="18"/>
          <w:szCs w:val="18"/>
          <w:lang w:val="en-US"/>
        </w:rPr>
        <w:t xml:space="preserve">Universitas </w:t>
      </w:r>
      <w:proofErr w:type="spellStart"/>
      <w:r w:rsidR="0072313A">
        <w:rPr>
          <w:rFonts w:ascii="Times New Roman" w:hAnsi="Times New Roman" w:cs="Times New Roman"/>
          <w:sz w:val="18"/>
          <w:szCs w:val="18"/>
          <w:lang w:val="en-US"/>
        </w:rPr>
        <w:t>Tidar</w:t>
      </w:r>
      <w:proofErr w:type="spellEnd"/>
      <w:r w:rsidRPr="00451C94">
        <w:rPr>
          <w:rFonts w:ascii="Times New Roman" w:hAnsi="Times New Roman" w:cs="Times New Roman"/>
          <w:sz w:val="18"/>
          <w:szCs w:val="18"/>
        </w:rPr>
        <w:t>,</w:t>
      </w:r>
      <w:r w:rsidRPr="00451C94">
        <w:rPr>
          <w:rFonts w:ascii="Times New Roman" w:hAnsi="Times New Roman" w:cs="Times New Roman"/>
        </w:rPr>
        <w:t xml:space="preserve"> </w:t>
      </w:r>
      <w:proofErr w:type="spellStart"/>
      <w:r w:rsidR="0072313A">
        <w:rPr>
          <w:rFonts w:ascii="Times New Roman" w:hAnsi="Times New Roman" w:cs="Times New Roman"/>
          <w:sz w:val="18"/>
          <w:szCs w:val="18"/>
          <w:lang w:val="en-US"/>
        </w:rPr>
        <w:t>Magelang</w:t>
      </w:r>
      <w:proofErr w:type="spellEnd"/>
      <w:r w:rsidRPr="00451C94">
        <w:rPr>
          <w:rFonts w:ascii="Times New Roman" w:hAnsi="Times New Roman" w:cs="Times New Roman"/>
          <w:sz w:val="18"/>
          <w:szCs w:val="18"/>
        </w:rPr>
        <w:t xml:space="preserve">, </w:t>
      </w:r>
      <w:r w:rsidR="0072313A" w:rsidRPr="00451C94">
        <w:rPr>
          <w:rFonts w:ascii="Times New Roman" w:hAnsi="Times New Roman" w:cs="Times New Roman"/>
          <w:sz w:val="18"/>
          <w:szCs w:val="18"/>
        </w:rPr>
        <w:t>Indonesi</w:t>
      </w:r>
      <w:r w:rsidR="0072313A">
        <w:rPr>
          <w:rFonts w:ascii="Times New Roman" w:hAnsi="Times New Roman" w:cs="Times New Roman"/>
          <w:sz w:val="18"/>
          <w:szCs w:val="18"/>
          <w:lang w:val="en-US"/>
        </w:rPr>
        <w:t>a</w:t>
      </w:r>
    </w:p>
    <w:bookmarkEnd w:id="1"/>
    <w:p w14:paraId="61E4E646" w14:textId="77777777" w:rsidR="00451C94" w:rsidRPr="00451C94" w:rsidRDefault="00451C94" w:rsidP="00451C94">
      <w:pPr>
        <w:spacing w:after="0" w:line="240" w:lineRule="auto"/>
        <w:jc w:val="center"/>
        <w:rPr>
          <w:rFonts w:ascii="Times New Roman" w:hAnsi="Times New Roman" w:cs="Times New Roman"/>
        </w:rPr>
      </w:pPr>
    </w:p>
    <w:tbl>
      <w:tblPr>
        <w:tblStyle w:val="TableGrid"/>
        <w:tblW w:w="8845" w:type="dxa"/>
        <w:jc w:val="center"/>
        <w:tblLook w:val="04A0" w:firstRow="1" w:lastRow="0" w:firstColumn="1" w:lastColumn="0" w:noHBand="0" w:noVBand="1"/>
      </w:tblPr>
      <w:tblGrid>
        <w:gridCol w:w="2787"/>
        <w:gridCol w:w="282"/>
        <w:gridCol w:w="5776"/>
      </w:tblGrid>
      <w:tr w:rsidR="00451C94" w:rsidRPr="00451C94" w14:paraId="6335FE21" w14:textId="77777777" w:rsidTr="00D93839">
        <w:trPr>
          <w:jc w:val="center"/>
        </w:trPr>
        <w:tc>
          <w:tcPr>
            <w:tcW w:w="2787" w:type="dxa"/>
            <w:tcBorders>
              <w:top w:val="double" w:sz="4" w:space="0" w:color="auto"/>
              <w:left w:val="nil"/>
              <w:bottom w:val="single" w:sz="4" w:space="0" w:color="auto"/>
              <w:right w:val="nil"/>
            </w:tcBorders>
          </w:tcPr>
          <w:p w14:paraId="16B10A49" w14:textId="77777777" w:rsidR="00451C94" w:rsidRPr="00451C94" w:rsidRDefault="00451C94" w:rsidP="00451C94">
            <w:pPr>
              <w:spacing w:before="120" w:after="120"/>
              <w:jc w:val="both"/>
              <w:rPr>
                <w:b/>
              </w:rPr>
            </w:pPr>
            <w:r w:rsidRPr="00451C94">
              <w:rPr>
                <w:b/>
              </w:rPr>
              <w:t>Article Info</w:t>
            </w:r>
          </w:p>
        </w:tc>
        <w:tc>
          <w:tcPr>
            <w:tcW w:w="282" w:type="dxa"/>
            <w:tcBorders>
              <w:top w:val="double" w:sz="4" w:space="0" w:color="auto"/>
              <w:left w:val="nil"/>
              <w:bottom w:val="nil"/>
              <w:right w:val="nil"/>
            </w:tcBorders>
          </w:tcPr>
          <w:p w14:paraId="20E43E6E" w14:textId="77777777" w:rsidR="00451C94" w:rsidRPr="00451C94" w:rsidRDefault="00451C94" w:rsidP="00451C94">
            <w:pPr>
              <w:jc w:val="center"/>
            </w:pPr>
          </w:p>
        </w:tc>
        <w:tc>
          <w:tcPr>
            <w:tcW w:w="5776" w:type="dxa"/>
            <w:tcBorders>
              <w:top w:val="double" w:sz="4" w:space="0" w:color="auto"/>
              <w:left w:val="nil"/>
              <w:bottom w:val="single" w:sz="4" w:space="0" w:color="auto"/>
              <w:right w:val="nil"/>
            </w:tcBorders>
          </w:tcPr>
          <w:p w14:paraId="6F3BC65E" w14:textId="0AB2966D" w:rsidR="00451C94" w:rsidRPr="00451C94" w:rsidRDefault="00451C94" w:rsidP="00451C94">
            <w:pPr>
              <w:spacing w:before="120" w:after="120"/>
              <w:rPr>
                <w:color w:val="000000"/>
                <w:sz w:val="24"/>
                <w:szCs w:val="24"/>
              </w:rPr>
            </w:pPr>
            <w:r w:rsidRPr="00451C94">
              <w:rPr>
                <w:b/>
                <w:bCs/>
                <w:iCs/>
                <w:color w:val="000000"/>
              </w:rPr>
              <w:t>ABSTRACT</w:t>
            </w:r>
          </w:p>
        </w:tc>
      </w:tr>
      <w:tr w:rsidR="00451C94" w:rsidRPr="00451C94" w14:paraId="69DAEFCE" w14:textId="77777777" w:rsidTr="00D93839">
        <w:trPr>
          <w:trHeight w:val="1268"/>
          <w:jc w:val="center"/>
        </w:trPr>
        <w:tc>
          <w:tcPr>
            <w:tcW w:w="2787" w:type="dxa"/>
            <w:tcBorders>
              <w:top w:val="single" w:sz="4" w:space="0" w:color="auto"/>
              <w:left w:val="nil"/>
              <w:bottom w:val="single" w:sz="4" w:space="0" w:color="auto"/>
              <w:right w:val="nil"/>
            </w:tcBorders>
          </w:tcPr>
          <w:p w14:paraId="29632D1A" w14:textId="77777777" w:rsidR="00451C94" w:rsidRPr="00C53505" w:rsidRDefault="00451C94" w:rsidP="00451C94">
            <w:pPr>
              <w:spacing w:before="120" w:after="120"/>
              <w:jc w:val="both"/>
              <w:rPr>
                <w:b/>
                <w:iCs/>
              </w:rPr>
            </w:pPr>
            <w:r w:rsidRPr="00C53505">
              <w:rPr>
                <w:b/>
                <w:iCs/>
              </w:rPr>
              <w:t>Article history:</w:t>
            </w:r>
          </w:p>
          <w:p w14:paraId="5CC6149D" w14:textId="3CBB3219" w:rsidR="00451C94" w:rsidRPr="00C53505" w:rsidRDefault="00451C94" w:rsidP="00451C94">
            <w:pPr>
              <w:jc w:val="both"/>
              <w:rPr>
                <w:iCs/>
                <w:lang w:val="en-US"/>
              </w:rPr>
            </w:pPr>
            <w:r w:rsidRPr="00C53505">
              <w:rPr>
                <w:iCs/>
              </w:rPr>
              <w:t xml:space="preserve">Received </w:t>
            </w:r>
            <w:r w:rsidR="003D1C07">
              <w:rPr>
                <w:iCs/>
                <w:lang w:val="en-US"/>
              </w:rPr>
              <w:t>0</w:t>
            </w:r>
            <w:r w:rsidR="00C53505">
              <w:rPr>
                <w:iCs/>
                <w:lang w:val="en-US"/>
              </w:rPr>
              <w:t>6</w:t>
            </w:r>
            <w:r w:rsidR="00C36099">
              <w:rPr>
                <w:iCs/>
                <w:lang w:val="en-US"/>
              </w:rPr>
              <w:t>/0</w:t>
            </w:r>
            <w:r w:rsidR="003D1C07">
              <w:rPr>
                <w:iCs/>
                <w:lang w:val="en-US"/>
              </w:rPr>
              <w:t>3</w:t>
            </w:r>
            <w:r w:rsidR="00C36099">
              <w:rPr>
                <w:iCs/>
                <w:lang w:val="en-US"/>
              </w:rPr>
              <w:t>/</w:t>
            </w:r>
            <w:r w:rsidR="00C53505">
              <w:rPr>
                <w:iCs/>
                <w:lang w:val="en-US"/>
              </w:rPr>
              <w:t>2023</w:t>
            </w:r>
          </w:p>
          <w:p w14:paraId="3611A087" w14:textId="2089DD81" w:rsidR="00451C94" w:rsidRPr="00C53505" w:rsidRDefault="005B0193" w:rsidP="00451C94">
            <w:pPr>
              <w:jc w:val="both"/>
              <w:rPr>
                <w:iCs/>
                <w:lang w:val="en-US"/>
              </w:rPr>
            </w:pPr>
            <w:r w:rsidRPr="00C53505">
              <w:rPr>
                <w:iCs/>
              </w:rPr>
              <w:t xml:space="preserve">Accepted </w:t>
            </w:r>
            <w:r w:rsidR="00C53505">
              <w:rPr>
                <w:iCs/>
                <w:lang w:val="en-US"/>
              </w:rPr>
              <w:t>28</w:t>
            </w:r>
            <w:r w:rsidR="00C36099">
              <w:rPr>
                <w:iCs/>
                <w:lang w:val="en-US"/>
              </w:rPr>
              <w:t>/04/</w:t>
            </w:r>
            <w:r w:rsidR="00C53505">
              <w:rPr>
                <w:iCs/>
                <w:lang w:val="en-US"/>
              </w:rPr>
              <w:t>2023</w:t>
            </w:r>
          </w:p>
          <w:p w14:paraId="5D483E8C" w14:textId="0E41F110" w:rsidR="00451C94" w:rsidRPr="00C53505" w:rsidRDefault="005B0193" w:rsidP="00451C94">
            <w:pPr>
              <w:jc w:val="both"/>
              <w:rPr>
                <w:iCs/>
                <w:lang w:val="en-US"/>
              </w:rPr>
            </w:pPr>
            <w:r w:rsidRPr="00C53505">
              <w:rPr>
                <w:iCs/>
                <w:lang w:val="en-US"/>
              </w:rPr>
              <w:t>Published</w:t>
            </w:r>
            <w:r w:rsidR="00451C94" w:rsidRPr="00C53505">
              <w:rPr>
                <w:iCs/>
              </w:rPr>
              <w:t xml:space="preserve"> </w:t>
            </w:r>
            <w:r w:rsidR="00DE6696">
              <w:rPr>
                <w:iCs/>
                <w:lang w:val="en-US"/>
              </w:rPr>
              <w:t>08</w:t>
            </w:r>
            <w:r w:rsidR="00C36099">
              <w:rPr>
                <w:iCs/>
                <w:lang w:val="en-US"/>
              </w:rPr>
              <w:t>/0</w:t>
            </w:r>
            <w:r w:rsidR="00DE6696">
              <w:rPr>
                <w:iCs/>
                <w:lang w:val="en-US"/>
              </w:rPr>
              <w:t>5</w:t>
            </w:r>
            <w:r w:rsidR="00C36099">
              <w:rPr>
                <w:iCs/>
                <w:lang w:val="en-US"/>
              </w:rPr>
              <w:t>/</w:t>
            </w:r>
            <w:r w:rsidR="00C53505">
              <w:rPr>
                <w:iCs/>
                <w:lang w:val="en-US"/>
              </w:rPr>
              <w:t>2023</w:t>
            </w:r>
          </w:p>
          <w:p w14:paraId="37946317" w14:textId="77777777" w:rsidR="00451C94" w:rsidRPr="00C53505" w:rsidRDefault="00451C94" w:rsidP="00451C94">
            <w:pPr>
              <w:jc w:val="both"/>
              <w:rPr>
                <w:iCs/>
              </w:rPr>
            </w:pPr>
          </w:p>
        </w:tc>
        <w:tc>
          <w:tcPr>
            <w:tcW w:w="282" w:type="dxa"/>
            <w:vMerge w:val="restart"/>
            <w:tcBorders>
              <w:top w:val="nil"/>
              <w:left w:val="nil"/>
              <w:bottom w:val="nil"/>
              <w:right w:val="nil"/>
            </w:tcBorders>
          </w:tcPr>
          <w:p w14:paraId="52AA4837" w14:textId="77777777" w:rsidR="00451C94" w:rsidRPr="00451C94" w:rsidRDefault="00451C94" w:rsidP="00451C94">
            <w:pPr>
              <w:jc w:val="both"/>
            </w:pPr>
          </w:p>
        </w:tc>
        <w:tc>
          <w:tcPr>
            <w:tcW w:w="5776" w:type="dxa"/>
            <w:vMerge w:val="restart"/>
            <w:tcBorders>
              <w:top w:val="single" w:sz="4" w:space="0" w:color="auto"/>
              <w:left w:val="nil"/>
              <w:bottom w:val="nil"/>
              <w:right w:val="nil"/>
            </w:tcBorders>
          </w:tcPr>
          <w:p w14:paraId="69A13E2B" w14:textId="1AE1059D" w:rsidR="00451C94" w:rsidRPr="00C01140" w:rsidRDefault="00C01140" w:rsidP="002277AA">
            <w:pPr>
              <w:jc w:val="both"/>
              <w:rPr>
                <w:lang w:val="en-US"/>
              </w:rPr>
            </w:pPr>
            <w:r w:rsidRPr="00C01140">
              <w:rPr>
                <w:bCs/>
                <w:color w:val="000000" w:themeColor="text1"/>
                <w:szCs w:val="16"/>
                <w:lang w:val="en-US"/>
              </w:rPr>
              <w:t xml:space="preserve">Information and Communication Technology (ICT) development impacts the need for skills in daily life, education, or work. Everyone needs the 4C skills associated with digital skills. Based on the literature review results, there is not much information about the concept of 4C digital skills. </w:t>
            </w:r>
            <w:proofErr w:type="gramStart"/>
            <w:r w:rsidRPr="00C01140">
              <w:rPr>
                <w:bCs/>
                <w:color w:val="000000" w:themeColor="text1"/>
                <w:szCs w:val="16"/>
                <w:lang w:val="en-US"/>
              </w:rPr>
              <w:t>So</w:t>
            </w:r>
            <w:proofErr w:type="gramEnd"/>
            <w:r w:rsidRPr="00C01140">
              <w:rPr>
                <w:bCs/>
                <w:color w:val="000000" w:themeColor="text1"/>
                <w:szCs w:val="16"/>
                <w:lang w:val="en-US"/>
              </w:rPr>
              <w:t xml:space="preserve"> this research will examine what aspects are needed in 4C digital skills. Another objective of this research is to analyze the 4C digital skills of a pre-service physics teacher. This research uses a literature review and survey methods. The subjects in this study were students of the UNSIQ Physics Education Study Program in the 2022/2023 academic year. There are two collection techniques, namely, literature study and questionnaires. Data from the questionnaire will be analyzed by calculating the percentage of each aspect and then determining the categories divided into five, namely very high, high, medium, low, and very low. The findings in this study are that the 4C skills in a digital context can be divided into 4 (four) aspects: critical thinking digital skills, creative digital skills, collaboration digital skills, communication digital skills. These skills are super skills individuals need to succeed in work and education. The results of a survey by the Department of Physics Education, UNSIQ, found creative digital skills as the lowest aspect with a value of 57.35% (low category). In comparison, collaboration digital skills became the highest aspect with a value of 72.20% (high category). Another aspect, namely critical thinking digital skills (61.66%) and communication digital skills (69.24%), are in the </w:t>
            </w:r>
            <w:r w:rsidR="003E63B8">
              <w:rPr>
                <w:bCs/>
                <w:color w:val="000000" w:themeColor="text1"/>
                <w:szCs w:val="16"/>
                <w:lang w:val="en-US"/>
              </w:rPr>
              <w:t>medium</w:t>
            </w:r>
            <w:r w:rsidRPr="00C01140">
              <w:rPr>
                <w:bCs/>
                <w:color w:val="000000" w:themeColor="text1"/>
                <w:szCs w:val="16"/>
                <w:lang w:val="en-US"/>
              </w:rPr>
              <w:t xml:space="preserve"> category.</w:t>
            </w:r>
          </w:p>
        </w:tc>
      </w:tr>
      <w:tr w:rsidR="00451C94" w:rsidRPr="00451C94" w14:paraId="402DFBC4" w14:textId="77777777" w:rsidTr="00D93839">
        <w:trPr>
          <w:trHeight w:val="1231"/>
          <w:jc w:val="center"/>
        </w:trPr>
        <w:tc>
          <w:tcPr>
            <w:tcW w:w="2787" w:type="dxa"/>
            <w:vMerge w:val="restart"/>
            <w:tcBorders>
              <w:top w:val="single" w:sz="4" w:space="0" w:color="auto"/>
              <w:left w:val="nil"/>
              <w:bottom w:val="single" w:sz="4" w:space="0" w:color="auto"/>
              <w:right w:val="nil"/>
            </w:tcBorders>
          </w:tcPr>
          <w:p w14:paraId="0F2E992A" w14:textId="77777777" w:rsidR="00451C94" w:rsidRPr="00C53505" w:rsidRDefault="00451C94" w:rsidP="00451C94">
            <w:pPr>
              <w:spacing w:before="120" w:after="120"/>
              <w:jc w:val="both"/>
              <w:rPr>
                <w:b/>
                <w:iCs/>
              </w:rPr>
            </w:pPr>
            <w:r w:rsidRPr="00C53505">
              <w:rPr>
                <w:b/>
                <w:iCs/>
              </w:rPr>
              <w:t>Keywords:</w:t>
            </w:r>
          </w:p>
          <w:p w14:paraId="09B6A63F" w14:textId="14E0EB24" w:rsidR="00451C94" w:rsidRPr="00C53505" w:rsidRDefault="00363167" w:rsidP="00451C94">
            <w:pPr>
              <w:jc w:val="both"/>
              <w:rPr>
                <w:iCs/>
                <w:lang w:val="en-US"/>
              </w:rPr>
            </w:pPr>
            <w:r w:rsidRPr="00C53505">
              <w:rPr>
                <w:iCs/>
                <w:szCs w:val="28"/>
                <w:lang w:val="en-US"/>
              </w:rPr>
              <w:t>21st century digital skills</w:t>
            </w:r>
          </w:p>
          <w:p w14:paraId="22A8F5F6" w14:textId="4BC61E4F" w:rsidR="002277AA" w:rsidRPr="00C53505" w:rsidRDefault="002277AA" w:rsidP="00451C94">
            <w:pPr>
              <w:jc w:val="both"/>
              <w:rPr>
                <w:rStyle w:val="fontstyle01"/>
                <w:rFonts w:ascii="Times New Roman" w:hAnsi="Times New Roman"/>
                <w:b w:val="0"/>
                <w:bCs w:val="0"/>
                <w:iCs/>
              </w:rPr>
            </w:pPr>
            <w:r w:rsidRPr="00C53505">
              <w:rPr>
                <w:rStyle w:val="fontstyle01"/>
                <w:rFonts w:ascii="Times New Roman" w:hAnsi="Times New Roman"/>
                <w:b w:val="0"/>
                <w:bCs w:val="0"/>
                <w:iCs/>
                <w:lang w:val="en-US"/>
              </w:rPr>
              <w:t>C</w:t>
            </w:r>
            <w:r w:rsidRPr="00C53505">
              <w:rPr>
                <w:rStyle w:val="fontstyle01"/>
                <w:rFonts w:ascii="Times New Roman" w:hAnsi="Times New Roman"/>
                <w:b w:val="0"/>
                <w:bCs w:val="0"/>
                <w:iCs/>
              </w:rPr>
              <w:t>ritical thinking digital skills</w:t>
            </w:r>
          </w:p>
          <w:p w14:paraId="263B49BE" w14:textId="41F59D6B" w:rsidR="002277AA" w:rsidRPr="00C53505" w:rsidRDefault="002277AA" w:rsidP="00451C94">
            <w:pPr>
              <w:jc w:val="both"/>
              <w:rPr>
                <w:iCs/>
              </w:rPr>
            </w:pPr>
            <w:r w:rsidRPr="00C53505">
              <w:rPr>
                <w:iCs/>
                <w:lang w:val="en-US"/>
              </w:rPr>
              <w:t>C</w:t>
            </w:r>
            <w:r w:rsidRPr="00C53505">
              <w:rPr>
                <w:iCs/>
              </w:rPr>
              <w:t>reative digital skills</w:t>
            </w:r>
          </w:p>
          <w:p w14:paraId="499FA7DB" w14:textId="7E07ECE6" w:rsidR="002277AA" w:rsidRPr="00C53505" w:rsidRDefault="002277AA" w:rsidP="00451C94">
            <w:pPr>
              <w:jc w:val="both"/>
              <w:rPr>
                <w:iCs/>
              </w:rPr>
            </w:pPr>
            <w:r w:rsidRPr="00C53505">
              <w:rPr>
                <w:iCs/>
                <w:lang w:val="en-US"/>
              </w:rPr>
              <w:t>C</w:t>
            </w:r>
            <w:r w:rsidRPr="00C53505">
              <w:rPr>
                <w:iCs/>
              </w:rPr>
              <w:t>ollaboration digital skills</w:t>
            </w:r>
          </w:p>
          <w:p w14:paraId="5E835B53" w14:textId="6A9473A1" w:rsidR="00451C94" w:rsidRPr="00C53505" w:rsidRDefault="002277AA" w:rsidP="00451C94">
            <w:pPr>
              <w:jc w:val="both"/>
              <w:rPr>
                <w:b/>
                <w:iCs/>
              </w:rPr>
            </w:pPr>
            <w:r w:rsidRPr="00C53505">
              <w:rPr>
                <w:iCs/>
                <w:lang w:val="en-US"/>
              </w:rPr>
              <w:t>C</w:t>
            </w:r>
            <w:r w:rsidRPr="00C53505">
              <w:rPr>
                <w:iCs/>
              </w:rPr>
              <w:t>ommunication digital skills</w:t>
            </w:r>
          </w:p>
        </w:tc>
        <w:tc>
          <w:tcPr>
            <w:tcW w:w="282" w:type="dxa"/>
            <w:vMerge/>
            <w:tcBorders>
              <w:top w:val="nil"/>
              <w:left w:val="nil"/>
              <w:bottom w:val="nil"/>
              <w:right w:val="nil"/>
            </w:tcBorders>
          </w:tcPr>
          <w:p w14:paraId="70535817" w14:textId="77777777" w:rsidR="00451C94" w:rsidRPr="00451C94" w:rsidRDefault="00451C94" w:rsidP="00451C94">
            <w:pPr>
              <w:jc w:val="both"/>
            </w:pPr>
          </w:p>
        </w:tc>
        <w:tc>
          <w:tcPr>
            <w:tcW w:w="5776" w:type="dxa"/>
            <w:vMerge/>
            <w:tcBorders>
              <w:top w:val="nil"/>
              <w:left w:val="nil"/>
              <w:bottom w:val="nil"/>
              <w:right w:val="nil"/>
            </w:tcBorders>
          </w:tcPr>
          <w:p w14:paraId="48675B7F" w14:textId="77777777" w:rsidR="00451C94" w:rsidRPr="00451C94" w:rsidRDefault="00451C94" w:rsidP="00451C94">
            <w:pPr>
              <w:jc w:val="both"/>
              <w:rPr>
                <w:iCs/>
                <w:color w:val="000000"/>
              </w:rPr>
            </w:pPr>
          </w:p>
        </w:tc>
      </w:tr>
      <w:tr w:rsidR="00451C94" w:rsidRPr="00451C94" w14:paraId="024D46FB" w14:textId="77777777" w:rsidTr="00D93839">
        <w:trPr>
          <w:trHeight w:val="70"/>
          <w:jc w:val="center"/>
        </w:trPr>
        <w:tc>
          <w:tcPr>
            <w:tcW w:w="2787" w:type="dxa"/>
            <w:vMerge/>
            <w:tcBorders>
              <w:top w:val="single" w:sz="4" w:space="0" w:color="auto"/>
              <w:left w:val="nil"/>
              <w:bottom w:val="single" w:sz="4" w:space="0" w:color="auto"/>
              <w:right w:val="nil"/>
            </w:tcBorders>
          </w:tcPr>
          <w:p w14:paraId="3F2065DF" w14:textId="77777777" w:rsidR="00451C94" w:rsidRPr="00451C94" w:rsidRDefault="00451C94" w:rsidP="00451C94">
            <w:pPr>
              <w:jc w:val="both"/>
              <w:rPr>
                <w:b/>
                <w:i/>
              </w:rPr>
            </w:pPr>
          </w:p>
        </w:tc>
        <w:tc>
          <w:tcPr>
            <w:tcW w:w="282" w:type="dxa"/>
            <w:vMerge/>
            <w:tcBorders>
              <w:top w:val="nil"/>
              <w:left w:val="nil"/>
              <w:bottom w:val="nil"/>
              <w:right w:val="nil"/>
            </w:tcBorders>
          </w:tcPr>
          <w:p w14:paraId="58F0E36B" w14:textId="77777777" w:rsidR="00451C94" w:rsidRPr="00451C94" w:rsidRDefault="00451C94" w:rsidP="00451C94">
            <w:pPr>
              <w:jc w:val="both"/>
            </w:pPr>
          </w:p>
        </w:tc>
        <w:tc>
          <w:tcPr>
            <w:tcW w:w="5776" w:type="dxa"/>
            <w:tcBorders>
              <w:top w:val="nil"/>
              <w:left w:val="nil"/>
              <w:bottom w:val="single" w:sz="4" w:space="0" w:color="auto"/>
              <w:right w:val="nil"/>
            </w:tcBorders>
          </w:tcPr>
          <w:p w14:paraId="2C515DAF" w14:textId="77777777" w:rsidR="00451C94" w:rsidRPr="00451C94" w:rsidRDefault="00451C94" w:rsidP="00451C94">
            <w:pPr>
              <w:spacing w:after="120"/>
              <w:jc w:val="right"/>
              <w:rPr>
                <w:i/>
                <w:iCs/>
                <w:color w:val="000000"/>
              </w:rPr>
            </w:pPr>
            <w:r w:rsidRPr="00451C94">
              <w:rPr>
                <w:i/>
                <w:iCs/>
                <w:color w:val="000000"/>
              </w:rPr>
              <w:t xml:space="preserve">This is an open access article under the </w:t>
            </w:r>
            <w:r>
              <w:fldChar w:fldCharType="begin"/>
            </w:r>
            <w:r>
              <w:instrText>HYPERLINK "https://creativecommons.org/licenses/by-sa/4.0/"</w:instrText>
            </w:r>
            <w:r>
              <w:fldChar w:fldCharType="separate"/>
            </w:r>
            <w:r w:rsidRPr="00451C94">
              <w:rPr>
                <w:rStyle w:val="Hyperlink"/>
                <w:i/>
                <w:iCs/>
              </w:rPr>
              <w:t>CC BY-SA</w:t>
            </w:r>
            <w:r>
              <w:rPr>
                <w:rStyle w:val="Hyperlink"/>
                <w:i/>
                <w:iCs/>
              </w:rPr>
              <w:fldChar w:fldCharType="end"/>
            </w:r>
            <w:r w:rsidRPr="00451C94">
              <w:rPr>
                <w:i/>
                <w:iCs/>
                <w:color w:val="000000"/>
              </w:rPr>
              <w:t xml:space="preserve"> license.</w:t>
            </w:r>
          </w:p>
          <w:p w14:paraId="4883C5EF" w14:textId="77777777" w:rsidR="00451C94" w:rsidRPr="00451C94" w:rsidRDefault="00451C94" w:rsidP="00451C94">
            <w:pPr>
              <w:spacing w:after="120"/>
              <w:jc w:val="right"/>
              <w:rPr>
                <w:i/>
                <w:iCs/>
                <w:color w:val="000000"/>
              </w:rPr>
            </w:pPr>
            <w:r w:rsidRPr="00451C94">
              <w:rPr>
                <w:noProof/>
                <w:lang w:eastAsia="id-ID"/>
              </w:rPr>
              <w:drawing>
                <wp:inline distT="0" distB="0" distL="0" distR="0" wp14:anchorId="6F47666F" wp14:editId="2131A357">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451C94" w:rsidRPr="0072313A" w14:paraId="3AF4EB81" w14:textId="77777777" w:rsidTr="00D93839">
        <w:trPr>
          <w:jc w:val="center"/>
        </w:trPr>
        <w:tc>
          <w:tcPr>
            <w:tcW w:w="8845" w:type="dxa"/>
            <w:gridSpan w:val="3"/>
            <w:tcBorders>
              <w:top w:val="nil"/>
              <w:left w:val="nil"/>
              <w:bottom w:val="double" w:sz="4" w:space="0" w:color="auto"/>
              <w:right w:val="nil"/>
            </w:tcBorders>
          </w:tcPr>
          <w:p w14:paraId="69A8C6E6" w14:textId="77777777" w:rsidR="00451C94" w:rsidRPr="00C36099" w:rsidRDefault="00451C94" w:rsidP="00451C94">
            <w:pPr>
              <w:rPr>
                <w:b/>
                <w:iCs/>
              </w:rPr>
            </w:pPr>
            <w:r w:rsidRPr="00C36099">
              <w:rPr>
                <w:b/>
                <w:iCs/>
              </w:rPr>
              <w:t>Corresponding Author:</w:t>
            </w:r>
          </w:p>
          <w:p w14:paraId="0AE35CD9" w14:textId="145DBB05" w:rsidR="00451C94" w:rsidRPr="00C36099" w:rsidRDefault="00BE2055" w:rsidP="00451C94">
            <w:pPr>
              <w:rPr>
                <w:iCs/>
                <w:lang w:val="en-US"/>
              </w:rPr>
            </w:pPr>
            <w:r w:rsidRPr="00C36099">
              <w:rPr>
                <w:b/>
                <w:bCs/>
                <w:iCs/>
              </w:rPr>
              <w:t>Eli Trisnowati</w:t>
            </w:r>
          </w:p>
          <w:p w14:paraId="44BB8F1A" w14:textId="660874E8" w:rsidR="005B0193" w:rsidRPr="00C36099" w:rsidRDefault="0072313A" w:rsidP="00F26FED">
            <w:pPr>
              <w:jc w:val="both"/>
              <w:rPr>
                <w:iCs/>
              </w:rPr>
            </w:pPr>
            <w:r w:rsidRPr="00C36099">
              <w:rPr>
                <w:iCs/>
              </w:rPr>
              <w:t xml:space="preserve">Department of </w:t>
            </w:r>
            <w:r w:rsidRPr="00C36099">
              <w:rPr>
                <w:iCs/>
                <w:lang w:val="en-US"/>
              </w:rPr>
              <w:t>Science Education</w:t>
            </w:r>
            <w:r w:rsidRPr="00C36099">
              <w:rPr>
                <w:iCs/>
              </w:rPr>
              <w:t xml:space="preserve">, Faculty of Teacher Training and Education, </w:t>
            </w:r>
            <w:r w:rsidRPr="00C36099">
              <w:rPr>
                <w:iCs/>
                <w:lang w:val="en-US"/>
              </w:rPr>
              <w:t xml:space="preserve">Universitas </w:t>
            </w:r>
            <w:proofErr w:type="spellStart"/>
            <w:r w:rsidRPr="00C36099">
              <w:rPr>
                <w:iCs/>
                <w:lang w:val="en-US"/>
              </w:rPr>
              <w:t>Tidar</w:t>
            </w:r>
            <w:proofErr w:type="spellEnd"/>
            <w:r w:rsidRPr="00C36099">
              <w:rPr>
                <w:iCs/>
              </w:rPr>
              <w:t xml:space="preserve">, </w:t>
            </w:r>
            <w:proofErr w:type="spellStart"/>
            <w:r w:rsidRPr="00C36099">
              <w:rPr>
                <w:iCs/>
                <w:lang w:val="en-US"/>
              </w:rPr>
              <w:t>Magelang</w:t>
            </w:r>
            <w:proofErr w:type="spellEnd"/>
            <w:r w:rsidRPr="00C36099">
              <w:rPr>
                <w:iCs/>
              </w:rPr>
              <w:t>, Indonesi</w:t>
            </w:r>
            <w:r w:rsidRPr="00C36099">
              <w:rPr>
                <w:iCs/>
                <w:lang w:val="en-US"/>
              </w:rPr>
              <w:t>a</w:t>
            </w:r>
          </w:p>
          <w:p w14:paraId="4F6D9B8A" w14:textId="03E2AC3B" w:rsidR="00451C94" w:rsidRPr="00C36099" w:rsidRDefault="00451C94" w:rsidP="00451C94">
            <w:pPr>
              <w:rPr>
                <w:iCs/>
                <w:color w:val="000000"/>
                <w:lang w:val="en-US"/>
              </w:rPr>
            </w:pPr>
            <w:r w:rsidRPr="00C36099">
              <w:rPr>
                <w:iCs/>
              </w:rPr>
              <w:t xml:space="preserve">Email: </w:t>
            </w:r>
            <w:r w:rsidR="00BE2055" w:rsidRPr="00C36099">
              <w:rPr>
                <w:iCs/>
                <w:lang w:val="en-US"/>
              </w:rPr>
              <w:t>elitrisnowati@untidar.ac.id</w:t>
            </w:r>
          </w:p>
        </w:tc>
      </w:tr>
    </w:tbl>
    <w:p w14:paraId="2AEB816C" w14:textId="77777777" w:rsidR="00451C94" w:rsidRPr="00451C94" w:rsidRDefault="00451C94" w:rsidP="005B0193">
      <w:pPr>
        <w:spacing w:after="0" w:line="276" w:lineRule="auto"/>
        <w:jc w:val="both"/>
        <w:rPr>
          <w:rFonts w:ascii="Times New Roman" w:hAnsi="Times New Roman" w:cs="Times New Roman"/>
        </w:rPr>
      </w:pPr>
    </w:p>
    <w:p w14:paraId="27D0CE06" w14:textId="42CBC837" w:rsidR="00451C94" w:rsidRDefault="00451C94" w:rsidP="00451C94">
      <w:pPr>
        <w:numPr>
          <w:ilvl w:val="0"/>
          <w:numId w:val="1"/>
        </w:numPr>
        <w:tabs>
          <w:tab w:val="left" w:pos="426"/>
        </w:tabs>
        <w:spacing w:after="0" w:line="276" w:lineRule="auto"/>
        <w:ind w:left="426" w:hanging="426"/>
        <w:rPr>
          <w:rFonts w:ascii="Times New Roman" w:hAnsi="Times New Roman" w:cs="Times New Roman"/>
          <w:b/>
          <w:bCs/>
          <w:sz w:val="24"/>
          <w:szCs w:val="24"/>
        </w:rPr>
      </w:pPr>
      <w:r w:rsidRPr="00451C94">
        <w:rPr>
          <w:rFonts w:ascii="Times New Roman" w:hAnsi="Times New Roman" w:cs="Times New Roman"/>
          <w:b/>
          <w:bCs/>
          <w:sz w:val="24"/>
          <w:szCs w:val="24"/>
        </w:rPr>
        <w:t>INTRODUCTION</w:t>
      </w:r>
    </w:p>
    <w:p w14:paraId="107C8217" w14:textId="77777777" w:rsidR="00451C94" w:rsidRPr="00451C94" w:rsidRDefault="00451C94" w:rsidP="00451C94">
      <w:pPr>
        <w:tabs>
          <w:tab w:val="left" w:pos="426"/>
        </w:tabs>
        <w:spacing w:after="0" w:line="276" w:lineRule="auto"/>
        <w:ind w:left="426"/>
        <w:rPr>
          <w:rFonts w:ascii="Times New Roman" w:hAnsi="Times New Roman" w:cs="Times New Roman"/>
          <w:b/>
          <w:bCs/>
          <w:sz w:val="24"/>
          <w:szCs w:val="24"/>
        </w:rPr>
      </w:pPr>
    </w:p>
    <w:p w14:paraId="1F91ECD5" w14:textId="3674D7E1" w:rsidR="00C01140" w:rsidRDefault="00C01140" w:rsidP="00D93839">
      <w:pPr>
        <w:spacing w:after="0" w:line="276" w:lineRule="auto"/>
        <w:ind w:firstLine="720"/>
        <w:jc w:val="both"/>
        <w:rPr>
          <w:rFonts w:ascii="Times New Roman" w:hAnsi="Times New Roman" w:cs="Times New Roman"/>
          <w:bCs/>
          <w:color w:val="000000" w:themeColor="text1"/>
          <w:sz w:val="24"/>
        </w:rPr>
      </w:pPr>
      <w:r w:rsidRPr="00C01140">
        <w:rPr>
          <w:rFonts w:ascii="Times New Roman" w:hAnsi="Times New Roman" w:cs="Times New Roman"/>
          <w:bCs/>
          <w:color w:val="000000" w:themeColor="text1"/>
          <w:sz w:val="24"/>
        </w:rPr>
        <w:t xml:space="preserve">The current era is the era of the industrial revolution 4.0 in the 21st century or the disruptive innovation phenomenon where there are three important things: data literacy, technology literacy and human literacy. Every individual must be able to prepare themselves for the trend of implementing Industry 4.0, which is growing rapidly. The tendency of the factory industry today is to switch to the digital technology industry, where there has been a change in the information system to become a data/online system. This change in literacy will significantly impact the world of education, so the world of education today must be able to keep up with changes in social patterns so as not to experience a significant "gap" of inequality. In line with this, the research </w:t>
      </w:r>
      <w:r w:rsidRPr="00C01140">
        <w:rPr>
          <w:rFonts w:ascii="Times New Roman" w:hAnsi="Times New Roman" w:cs="Times New Roman"/>
          <w:bCs/>
          <w:color w:val="000000" w:themeColor="text1"/>
          <w:sz w:val="24"/>
        </w:rPr>
        <w:lastRenderedPageBreak/>
        <w:t xml:space="preserve">results from </w:t>
      </w:r>
      <w:r>
        <w:rPr>
          <w:rFonts w:ascii="Times New Roman" w:hAnsi="Times New Roman" w:cs="Times New Roman"/>
          <w:bCs/>
          <w:color w:val="000000" w:themeColor="text1"/>
          <w:sz w:val="24"/>
        </w:rPr>
        <w:fldChar w:fldCharType="begin" w:fldLock="1"/>
      </w:r>
      <w:r>
        <w:rPr>
          <w:rFonts w:ascii="Times New Roman" w:hAnsi="Times New Roman" w:cs="Times New Roman"/>
          <w:bCs/>
          <w:color w:val="000000" w:themeColor="text1"/>
          <w:sz w:val="24"/>
        </w:rPr>
        <w:instrText>ADDIN CSL_CITATION {"citationItems":[{"id":"ITEM-1","itemData":{"DOI":"https://doi.org/10.33258/biolae.v1i2.85","author":[{"dropping-particle":"","family":"Lubis","given":"Fitriani","non-dropping-particle":"","parse-names":false,"suffix":""}],"container-title":"Britain International of Linguistics Arts and Education (BIoLAE) Journal","id":"ITEM-1","issue":"2","issued":{"date-parts":[["2019"]]},"page":"183-188","title":"Education in the Disruption Era","type":"article-journal","volume":"1"},"uris":["http://www.mendeley.com/documents/?uuid=35025e77-5404-4012-8adc-7890ee5205a9"]}],"mendeley":{"formattedCitation":"(Lubis, 2019)","manualFormatting":"Lubis (2019)","plainTextFormattedCitation":"(Lubis, 2019)","previouslyFormattedCitation":"(Lubis, 2019)"},"properties":{"noteIndex":0},"schema":"https://github.com/citation-style-language/schema/raw/master/csl-citation.json"}</w:instrText>
      </w:r>
      <w:r>
        <w:rPr>
          <w:rFonts w:ascii="Times New Roman" w:hAnsi="Times New Roman" w:cs="Times New Roman"/>
          <w:bCs/>
          <w:color w:val="000000" w:themeColor="text1"/>
          <w:sz w:val="24"/>
        </w:rPr>
        <w:fldChar w:fldCharType="separate"/>
      </w:r>
      <w:r w:rsidRPr="00A16913">
        <w:rPr>
          <w:rFonts w:ascii="Times New Roman" w:hAnsi="Times New Roman" w:cs="Times New Roman"/>
          <w:bCs/>
          <w:noProof/>
          <w:color w:val="000000" w:themeColor="text1"/>
          <w:sz w:val="24"/>
        </w:rPr>
        <w:t>Lubis (2019)</w:t>
      </w:r>
      <w:r>
        <w:rPr>
          <w:rFonts w:ascii="Times New Roman" w:hAnsi="Times New Roman" w:cs="Times New Roman"/>
          <w:bCs/>
          <w:color w:val="000000" w:themeColor="text1"/>
          <w:sz w:val="24"/>
        </w:rPr>
        <w:fldChar w:fldCharType="end"/>
      </w:r>
      <w:r w:rsidRPr="00D93839">
        <w:rPr>
          <w:rFonts w:ascii="Times New Roman" w:hAnsi="Times New Roman" w:cs="Times New Roman"/>
          <w:bCs/>
          <w:color w:val="000000" w:themeColor="text1"/>
          <w:sz w:val="24"/>
        </w:rPr>
        <w:t xml:space="preserve"> </w:t>
      </w:r>
      <w:r w:rsidRPr="00C01140">
        <w:rPr>
          <w:rFonts w:ascii="Times New Roman" w:hAnsi="Times New Roman" w:cs="Times New Roman"/>
          <w:bCs/>
          <w:color w:val="000000" w:themeColor="text1"/>
          <w:sz w:val="24"/>
        </w:rPr>
        <w:t>explain that in this disruptive era, there are changing rules in the world of education, and there is increasing pressure on universities to be able to evolve, adapt or even stop.</w:t>
      </w:r>
    </w:p>
    <w:p w14:paraId="3B8AA53C" w14:textId="2A5C98A5" w:rsidR="002C086C" w:rsidRDefault="002C086C" w:rsidP="00D93839">
      <w:pPr>
        <w:spacing w:after="0" w:line="276" w:lineRule="auto"/>
        <w:ind w:firstLine="720"/>
        <w:jc w:val="both"/>
        <w:rPr>
          <w:rFonts w:ascii="Times New Roman" w:hAnsi="Times New Roman" w:cs="Times New Roman"/>
          <w:bCs/>
          <w:color w:val="000000" w:themeColor="text1"/>
          <w:sz w:val="24"/>
        </w:rPr>
      </w:pPr>
      <w:r w:rsidRPr="002C086C">
        <w:rPr>
          <w:rFonts w:ascii="Times New Roman" w:hAnsi="Times New Roman" w:cs="Times New Roman"/>
          <w:bCs/>
          <w:color w:val="000000" w:themeColor="text1"/>
          <w:sz w:val="24"/>
        </w:rPr>
        <w:t xml:space="preserve">Education as a provider of human resources must be able to see this change as a challenge, where there has been a change from the old paradigm to a new one, namely from reading, writing and computing literacy to data, technology and human literacy. </w:t>
      </w:r>
      <w:r>
        <w:rPr>
          <w:rFonts w:ascii="Times New Roman" w:hAnsi="Times New Roman" w:cs="Times New Roman"/>
          <w:bCs/>
          <w:color w:val="000000" w:themeColor="text1"/>
          <w:sz w:val="24"/>
        </w:rPr>
        <w:fldChar w:fldCharType="begin" w:fldLock="1"/>
      </w:r>
      <w:r>
        <w:rPr>
          <w:rFonts w:ascii="Times New Roman" w:hAnsi="Times New Roman" w:cs="Times New Roman"/>
          <w:bCs/>
          <w:color w:val="000000" w:themeColor="text1"/>
          <w:sz w:val="24"/>
        </w:rPr>
        <w:instrText>ADDIN CSL_CITATION {"citationItems":[{"id":"ITEM-1","itemData":{"author":[{"dropping-particle":"","family":"Eggen","given":"P.","non-dropping-particle":"","parse-names":false,"suffix":""},{"dropping-particle":"","family":"D. Kauchak","given":"","non-dropping-particle":"","parse-names":false,"suffix":""}],"edition":"6","id":"ITEM-1","issued":{"date-parts":[["2012"]]},"publisher":"Indeks","publisher-place":"Jakarta","title":"Strategi dan Model Pembelajaran, Mengajar Konten dan Keterampilan Berpikir","type":"book"},"uris":["http://www.mendeley.com/documents/?uuid=f50781f5-00e4-41d2-a375-7f095b8fe3ea"]}],"mendeley":{"formattedCitation":"(Eggen &amp; D. Kauchak, 2012)","manualFormatting":"Eggen &amp; D. Kauchak (2012)","plainTextFormattedCitation":"(Eggen &amp; D. Kauchak, 2012)","previouslyFormattedCitation":"(Eggen &amp; D. Kauchak, 2012)"},"properties":{"noteIndex":0},"schema":"https://github.com/citation-style-language/schema/raw/master/csl-citation.json"}</w:instrText>
      </w:r>
      <w:r>
        <w:rPr>
          <w:rFonts w:ascii="Times New Roman" w:hAnsi="Times New Roman" w:cs="Times New Roman"/>
          <w:bCs/>
          <w:color w:val="000000" w:themeColor="text1"/>
          <w:sz w:val="24"/>
        </w:rPr>
        <w:fldChar w:fldCharType="separate"/>
      </w:r>
      <w:r w:rsidRPr="00A16913">
        <w:rPr>
          <w:rFonts w:ascii="Times New Roman" w:hAnsi="Times New Roman" w:cs="Times New Roman"/>
          <w:bCs/>
          <w:noProof/>
          <w:color w:val="000000" w:themeColor="text1"/>
          <w:sz w:val="24"/>
        </w:rPr>
        <w:t xml:space="preserve">Eggen &amp; D. Kauchak </w:t>
      </w:r>
      <w:r w:rsidRPr="002C086C">
        <w:rPr>
          <w:rFonts w:ascii="Times New Roman" w:hAnsi="Times New Roman" w:cs="Times New Roman"/>
          <w:bCs/>
          <w:noProof/>
          <w:color w:val="000000" w:themeColor="text1"/>
          <w:sz w:val="24"/>
          <w:lang w:val="en-US"/>
        </w:rPr>
        <w:t>(</w:t>
      </w:r>
      <w:r w:rsidRPr="00A16913">
        <w:rPr>
          <w:rFonts w:ascii="Times New Roman" w:hAnsi="Times New Roman" w:cs="Times New Roman"/>
          <w:bCs/>
          <w:noProof/>
          <w:color w:val="000000" w:themeColor="text1"/>
          <w:sz w:val="24"/>
        </w:rPr>
        <w:t>2012)</w:t>
      </w:r>
      <w:r>
        <w:rPr>
          <w:rFonts w:ascii="Times New Roman" w:hAnsi="Times New Roman" w:cs="Times New Roman"/>
          <w:bCs/>
          <w:color w:val="000000" w:themeColor="text1"/>
          <w:sz w:val="24"/>
        </w:rPr>
        <w:fldChar w:fldCharType="end"/>
      </w:r>
      <w:r w:rsidRPr="002C086C">
        <w:rPr>
          <w:rFonts w:ascii="Times New Roman" w:hAnsi="Times New Roman" w:cs="Times New Roman"/>
          <w:bCs/>
          <w:color w:val="000000" w:themeColor="text1"/>
          <w:sz w:val="24"/>
          <w:lang w:val="en-US"/>
        </w:rPr>
        <w:t xml:space="preserve"> </w:t>
      </w:r>
      <w:r w:rsidRPr="002C086C">
        <w:rPr>
          <w:rFonts w:ascii="Times New Roman" w:hAnsi="Times New Roman" w:cs="Times New Roman"/>
          <w:bCs/>
          <w:color w:val="000000" w:themeColor="text1"/>
          <w:sz w:val="24"/>
        </w:rPr>
        <w:t xml:space="preserve">also stated that technological literacy is a very important basic skill after reading, writing and calculating. Suppose education is not ready to face the changes that are taking place. In that case, it is feared that many graduates will not be able to compete in the disruptive/21st-century era because the skills or competencies prepared by higher education are not linked </w:t>
      </w:r>
      <w:r w:rsidR="00C40C7A">
        <w:rPr>
          <w:rFonts w:ascii="Times New Roman" w:hAnsi="Times New Roman" w:cs="Times New Roman"/>
          <w:bCs/>
          <w:color w:val="000000" w:themeColor="text1"/>
          <w:sz w:val="24"/>
          <w:lang w:val="en-US"/>
        </w:rPr>
        <w:t xml:space="preserve">to </w:t>
      </w:r>
      <w:r w:rsidRPr="002C086C">
        <w:rPr>
          <w:rFonts w:ascii="Times New Roman" w:hAnsi="Times New Roman" w:cs="Times New Roman"/>
          <w:bCs/>
          <w:color w:val="000000" w:themeColor="text1"/>
          <w:sz w:val="24"/>
        </w:rPr>
        <w:t>and match with the world of work. Based on data from the Central Statistics Agency (BPS) for February 2018, the unemployment rate reached 6.9 million people or 5.13% of the total working-age population. This shows that the absorption of graduates from schools or tertiary institutions is still lacking in entering the world of work.</w:t>
      </w:r>
    </w:p>
    <w:p w14:paraId="5589514E" w14:textId="51A84070" w:rsidR="00AE526B" w:rsidRDefault="00AE526B" w:rsidP="00D93839">
      <w:pPr>
        <w:spacing w:after="0" w:line="276" w:lineRule="auto"/>
        <w:ind w:firstLine="720"/>
        <w:jc w:val="both"/>
        <w:rPr>
          <w:rFonts w:ascii="Times New Roman" w:hAnsi="Times New Roman" w:cs="Times New Roman"/>
          <w:bCs/>
          <w:color w:val="000000" w:themeColor="text1"/>
          <w:sz w:val="24"/>
        </w:rPr>
      </w:pPr>
      <w:r w:rsidRPr="00AE526B">
        <w:rPr>
          <w:rFonts w:ascii="Times New Roman" w:hAnsi="Times New Roman" w:cs="Times New Roman"/>
          <w:bCs/>
          <w:color w:val="000000" w:themeColor="text1"/>
          <w:sz w:val="24"/>
        </w:rPr>
        <w:t xml:space="preserve">Based on the demands above, it is necessary to have an educational direction that can accommodate </w:t>
      </w:r>
      <w:r w:rsidR="00C40C7A">
        <w:rPr>
          <w:rFonts w:ascii="Times New Roman" w:hAnsi="Times New Roman" w:cs="Times New Roman"/>
          <w:bCs/>
          <w:color w:val="000000" w:themeColor="text1"/>
          <w:sz w:val="24"/>
          <w:lang w:val="en-US"/>
        </w:rPr>
        <w:t>them</w:t>
      </w:r>
      <w:r w:rsidRPr="00AE526B">
        <w:rPr>
          <w:rFonts w:ascii="Times New Roman" w:hAnsi="Times New Roman" w:cs="Times New Roman"/>
          <w:bCs/>
          <w:color w:val="000000" w:themeColor="text1"/>
          <w:sz w:val="24"/>
        </w:rPr>
        <w:t xml:space="preserve">. The direction of 21st-century education is related to national education goals as stipulated in SISDIKNAS Law No. 20 of 2003; </w:t>
      </w:r>
      <w:r w:rsidR="0020752A">
        <w:rPr>
          <w:rFonts w:ascii="Times New Roman" w:hAnsi="Times New Roman" w:cs="Times New Roman"/>
          <w:bCs/>
          <w:color w:val="000000" w:themeColor="text1"/>
          <w:sz w:val="24"/>
          <w:lang w:val="en-US"/>
        </w:rPr>
        <w:t>“</w:t>
      </w:r>
      <w:r w:rsidRPr="00AE526B">
        <w:rPr>
          <w:rFonts w:ascii="Times New Roman" w:hAnsi="Times New Roman" w:cs="Times New Roman"/>
          <w:bCs/>
          <w:color w:val="000000" w:themeColor="text1"/>
          <w:sz w:val="24"/>
        </w:rPr>
        <w:t>National Education functions to develop capabilities and shape noble character and national civilization in order to educate the life of the nation, aims to develop the potential of students to become human beings who believe and fear the Almighty God, have a noble character, are healthy, knowledgeable, competent, creative, independent, and become a democratic and responsible citizen</w:t>
      </w:r>
      <w:r w:rsidR="0020752A">
        <w:rPr>
          <w:rFonts w:ascii="Times New Roman" w:hAnsi="Times New Roman" w:cs="Times New Roman"/>
          <w:bCs/>
          <w:color w:val="000000" w:themeColor="text1"/>
          <w:sz w:val="24"/>
          <w:lang w:val="en-US"/>
        </w:rPr>
        <w:t>”</w:t>
      </w:r>
      <w:r w:rsidRPr="00AE526B">
        <w:rPr>
          <w:rFonts w:ascii="Times New Roman" w:hAnsi="Times New Roman" w:cs="Times New Roman"/>
          <w:bCs/>
          <w:color w:val="000000" w:themeColor="text1"/>
          <w:sz w:val="24"/>
        </w:rPr>
        <w:t xml:space="preserve">. In teaching and learning activities, it is necessary to integrate the development of 21st-century skills into content learning in various disciplines </w:t>
      </w:r>
      <w:r>
        <w:rPr>
          <w:rFonts w:ascii="Times New Roman" w:hAnsi="Times New Roman" w:cs="Times New Roman"/>
          <w:bCs/>
          <w:color w:val="000000" w:themeColor="text1"/>
          <w:sz w:val="24"/>
          <w:lang w:val="sv-SE"/>
        </w:rPr>
        <w:fldChar w:fldCharType="begin" w:fldLock="1"/>
      </w:r>
      <w:r w:rsidRPr="00AE526B">
        <w:rPr>
          <w:rFonts w:ascii="Times New Roman" w:hAnsi="Times New Roman" w:cs="Times New Roman"/>
          <w:bCs/>
          <w:color w:val="000000" w:themeColor="text1"/>
          <w:sz w:val="24"/>
          <w:lang w:val="en-US"/>
        </w:rPr>
        <w:instrText>ADDIN CSL_CITATION {"citationItems":[{"id":"ITEM-1","itemData":{"DOI":"10.15294/jpii.v7i4.13613","ISSN":"20894392","abstract":"Integrated science and integration of literacy skills are relevant issues to be investigated in science education. This research aimed at determining the validity of integrated science materials and examining the practicality and effectivity of the use of integrated science materials in the scientific approach. The type of this research was research and development. The development of integrated science materials consists of seven stages, namely identifying potentials and problems, collecting information, designing a product, validating the product, revising product, doing limited testing, and revising product. Instruments for collecting data included validity assessment, practicality assessment, written test, and performance assessment. The data were analyzed by descriptive statistics and paired comparison test. Based on the data analysis, there were three results of this research. First, the validity of integrated science instructional materials classified as very high with an average value of 83.2. Second, the integrated science instructional materials were practical according to the science teachers and students with an average value of 86.11 and 89.66 respectively. Third, the integrated science instructional materials were effective in the scientific approach to improving the aspects of knowledge and digital literacy including scientific, functional, and visual literacy at 95% confidence level. These results indicated that employing integrated science instructional materials could overcome the problem of integrated science teaching and improve the digital literacy of students in terms of scientific, functional, and visual literacy. These digital literacy components are also useful for students to get success in their real future life.","author":[{"dropping-particle":"","family":"Asrizal","given":"","non-dropping-particle":"","parse-names":false,"suffix":""},{"dropping-particle":"","family":"Amran","given":"A.","non-dropping-particle":"","parse-names":false,"suffix":""},{"dropping-particle":"","family":"Ananda","given":"A.","non-dropping-particle":"","parse-names":f</w:instrText>
      </w:r>
      <w:r w:rsidRPr="00393CD3">
        <w:rPr>
          <w:rFonts w:ascii="Times New Roman" w:hAnsi="Times New Roman" w:cs="Times New Roman"/>
          <w:bCs/>
          <w:color w:val="000000" w:themeColor="text1"/>
          <w:sz w:val="24"/>
          <w:lang w:val="en-US"/>
        </w:rPr>
        <w:instrText>alse,"suffix":""},{"dropping-particle":"","family":"Festiyed","given":"F.","non-dropping-particle":"","parse-names":false,"suffix":""},{"dropping-particle":"","family":"Sumarmin","given":"R.","non-dropping-particle":"","parse-names":false,"suffix":""}],"container-title":"Jurnal Pendidikan IPA Indonesia","id":"ITEM-1","issue":"4","issued":{"date-parts":[["2018"]]},"page":"442-450","title":"The development of integrated science instructional materials to improve students’ digital literacy in scientific approach","type":"article-journal","volume":"7"},"uris":["http://www.mendeley.com/documents/?uuid=e8a47477-623b-43b0-bbb5-3f26a4ea2a74"]}],"mendeley":{"formattedCitation":"(Asrizal et al., 2018)","plainTextFormattedCitation":"(Asrizal et al., 2018)","previouslyFormattedCitation":"(Asrizal et al., 2018)"},"properties":{"noteIndex":0},"schema":"https://github.com/citation-style-language/schema/raw/master/csl-citation.json"}</w:instrText>
      </w:r>
      <w:r>
        <w:rPr>
          <w:rFonts w:ascii="Times New Roman" w:hAnsi="Times New Roman" w:cs="Times New Roman"/>
          <w:bCs/>
          <w:color w:val="000000" w:themeColor="text1"/>
          <w:sz w:val="24"/>
          <w:lang w:val="sv-SE"/>
        </w:rPr>
        <w:fldChar w:fldCharType="separate"/>
      </w:r>
      <w:r w:rsidRPr="00393CD3">
        <w:rPr>
          <w:rFonts w:ascii="Times New Roman" w:hAnsi="Times New Roman" w:cs="Times New Roman"/>
          <w:bCs/>
          <w:noProof/>
          <w:color w:val="000000" w:themeColor="text1"/>
          <w:sz w:val="24"/>
          <w:lang w:val="en-US"/>
        </w:rPr>
        <w:t>(Asrizal et al., 2018)</w:t>
      </w:r>
      <w:r>
        <w:rPr>
          <w:rFonts w:ascii="Times New Roman" w:hAnsi="Times New Roman" w:cs="Times New Roman"/>
          <w:bCs/>
          <w:color w:val="000000" w:themeColor="text1"/>
          <w:sz w:val="24"/>
          <w:lang w:val="sv-SE"/>
        </w:rPr>
        <w:fldChar w:fldCharType="end"/>
      </w:r>
      <w:r w:rsidRPr="00AE526B">
        <w:rPr>
          <w:rFonts w:ascii="Times New Roman" w:hAnsi="Times New Roman" w:cs="Times New Roman"/>
          <w:bCs/>
          <w:color w:val="000000" w:themeColor="text1"/>
          <w:sz w:val="24"/>
        </w:rPr>
        <w:t xml:space="preserve">. </w:t>
      </w:r>
      <w:r w:rsidR="00206242" w:rsidRPr="00206242">
        <w:rPr>
          <w:rFonts w:ascii="Times New Roman" w:hAnsi="Times New Roman" w:cs="Times New Roman"/>
          <w:bCs/>
          <w:color w:val="000000" w:themeColor="text1"/>
          <w:sz w:val="24"/>
        </w:rPr>
        <w:t>Countries need to integrate 21st-century skills in learning to increase the country's competitiveness at the global level</w:t>
      </w:r>
      <w:r w:rsidRPr="00AE526B">
        <w:rPr>
          <w:rFonts w:ascii="Times New Roman" w:hAnsi="Times New Roman" w:cs="Times New Roman"/>
          <w:bCs/>
          <w:color w:val="000000" w:themeColor="text1"/>
          <w:sz w:val="24"/>
        </w:rPr>
        <w:t>.</w:t>
      </w:r>
    </w:p>
    <w:p w14:paraId="049C7CE9" w14:textId="054A412D" w:rsidR="00AE526B" w:rsidRDefault="00AE526B" w:rsidP="00D93839">
      <w:pPr>
        <w:spacing w:after="0" w:line="276" w:lineRule="auto"/>
        <w:ind w:firstLine="720"/>
        <w:jc w:val="both"/>
        <w:rPr>
          <w:rFonts w:ascii="Times New Roman" w:hAnsi="Times New Roman" w:cs="Times New Roman"/>
          <w:bCs/>
          <w:color w:val="000000" w:themeColor="text1"/>
          <w:sz w:val="24"/>
        </w:rPr>
      </w:pPr>
      <w:r w:rsidRPr="00AE526B">
        <w:rPr>
          <w:rFonts w:ascii="Times New Roman" w:hAnsi="Times New Roman" w:cs="Times New Roman"/>
          <w:bCs/>
          <w:color w:val="000000" w:themeColor="text1"/>
          <w:sz w:val="24"/>
        </w:rPr>
        <w:t xml:space="preserve">In order to develop an understanding of how best to teach, pre-service physics teachers need to be prepared to understand and have the skills needed to empower 21st-century skills in their students. John Dewey revealed "Education as a social function". Society in education is not only a place and intermediary for the interaction of one's character with the environment but the whole activity of a person, especially in carrying out a physical activity which will experience gradual changes </w:t>
      </w:r>
      <w:r>
        <w:rPr>
          <w:rFonts w:ascii="Times New Roman" w:hAnsi="Times New Roman" w:cs="Times New Roman"/>
          <w:bCs/>
          <w:color w:val="000000" w:themeColor="text1"/>
          <w:sz w:val="24"/>
        </w:rPr>
        <w:fldChar w:fldCharType="begin" w:fldLock="1"/>
      </w:r>
      <w:r>
        <w:rPr>
          <w:rFonts w:ascii="Times New Roman" w:hAnsi="Times New Roman" w:cs="Times New Roman"/>
          <w:bCs/>
          <w:color w:val="000000" w:themeColor="text1"/>
          <w:sz w:val="24"/>
        </w:rPr>
        <w:instrText>ADDIN CSL_CITATION {"citationItems":[{"id":"ITEM-1","itemData":{"DOI":"https://doi.org/10.7208/9780226408408","author":[{"dropping-particle":"","family":"Phillips","given":"D.","non-dropping-particle":"","parse-names":false,"suffix":""}],"id":"ITEM-1","issued":{"date-parts":[["2016"]]},"publisher":"University of Chicago Press","publisher-place":"Chicago","title":"Companion to John Dewey's \"Democracy and Education\"","type":"book"},"uris":["http://www.mendeley.com/documents/?uuid=b480a8f5-e40c-4d80-b3ed-410caa476aa3"]}],"mendeley":{"formattedCitation":"(Phillips, 2016)","plainTextFormattedCitation":"(Phillips, 2016)","previouslyFormattedCitation":"(Phillips, 2016)"},"properties":{"noteIndex":0},"schema":"https://github.com/citation-style-language/schema/raw/master/csl-citation.json"}</w:instrText>
      </w:r>
      <w:r>
        <w:rPr>
          <w:rFonts w:ascii="Times New Roman" w:hAnsi="Times New Roman" w:cs="Times New Roman"/>
          <w:bCs/>
          <w:color w:val="000000" w:themeColor="text1"/>
          <w:sz w:val="24"/>
        </w:rPr>
        <w:fldChar w:fldCharType="separate"/>
      </w:r>
      <w:r w:rsidRPr="00F26FED">
        <w:rPr>
          <w:rFonts w:ascii="Times New Roman" w:hAnsi="Times New Roman" w:cs="Times New Roman"/>
          <w:bCs/>
          <w:noProof/>
          <w:color w:val="000000" w:themeColor="text1"/>
          <w:sz w:val="24"/>
        </w:rPr>
        <w:t>(Phillips, 2016)</w:t>
      </w:r>
      <w:r>
        <w:rPr>
          <w:rFonts w:ascii="Times New Roman" w:hAnsi="Times New Roman" w:cs="Times New Roman"/>
          <w:bCs/>
          <w:color w:val="000000" w:themeColor="text1"/>
          <w:sz w:val="24"/>
        </w:rPr>
        <w:fldChar w:fldCharType="end"/>
      </w:r>
      <w:r w:rsidRPr="00AE526B">
        <w:rPr>
          <w:rFonts w:ascii="Times New Roman" w:hAnsi="Times New Roman" w:cs="Times New Roman"/>
          <w:bCs/>
          <w:color w:val="000000" w:themeColor="text1"/>
          <w:sz w:val="24"/>
        </w:rPr>
        <w:t>. Changes that refer to gradual changes are educational effects. Furthermore, each individual has a purpose or participation in several activities.</w:t>
      </w:r>
    </w:p>
    <w:p w14:paraId="32B563B0" w14:textId="4A5BB8B4" w:rsidR="00206242" w:rsidRDefault="00767EB5" w:rsidP="00D93839">
      <w:pPr>
        <w:spacing w:after="0" w:line="276" w:lineRule="auto"/>
        <w:ind w:firstLine="72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fldChar w:fldCharType="begin" w:fldLock="1"/>
      </w:r>
      <w:r>
        <w:rPr>
          <w:rFonts w:ascii="Times New Roman" w:hAnsi="Times New Roman" w:cs="Times New Roman"/>
          <w:bCs/>
          <w:color w:val="000000" w:themeColor="text1"/>
          <w:sz w:val="24"/>
        </w:rPr>
        <w:instrText>ADDIN CSL_CITATION {"citationItems":[{"id":"ITEM-1","itemData":{"DOI":"10.1080/00220272.2012.668938","ISSN":"00220272","abstract":"National curricula need to change drastically to comply with the competences needed for the 21 st century. In this paper eight frameworks describing 21 st century competences were analysed. A comprehensive search for information about 21 st century competences was conducted across the official websites of the selected frameworks, resulting in 32 documents that were analysed in detail. Travers and Westbury's framework of curriculum representations was used to determine horizontal and vertical consistency between the frameworks. The frameworks were compared on their underlying rationales and goals, their definition of 21 st century competences, and the recommended strategies for the implementation and assessment of these skills in educational practice. In addition three international studies were examined to analyse how various countries (EU member states, OECD countries) and schools (SITES studies) deal (or not) with 21 st century competences. The findings indicate a large extent of alignment between the frameworks about what 21 st century competences are and why they are important (horizontal consistency), but intentions and practice seemed still far apart, indicating lack of vertical consistency. The implications of the implementation of 21 st century competences in national curriculum policies are discussed and recommendations are provided. © 2012 Taylor &amp; Francis.","author":[{"dropping-particle":"","family":"Voogt","given":"Joke","non-dropping-particle":"","parse-names":false,"suffix":""},{"dropping-particle":"","family":"Roblin","given":"Natalie Pareja","non-dropping-particle":"","parse-names":false,"suffix":""}],"container-title":"Journal of Curriculum Studies","id":"ITEM-1","issue":"3","issued":{"date-parts":[["2012"]]},"page":"299-321","title":"A comparative analysis of international frameworks for 21 st century competences: Implications for national curriculum policies","type":"article-journal","volume":"44"},"uris":["http://www.mendeley.com/documents/?uuid=23eb7c64-864e-4ab8-a312-cf985ab33048"]}],"mendeley":{"formattedCitation":"(Voogt &amp; Roblin, 2012)","manualFormatting":"Voogt &amp; Roblin (2012)","plainTextFormattedCitation":"(Voogt &amp; Roblin, 2012)","previouslyFormattedCitation":"(Voogt &amp; Roblin, 2012)"},"properties":{"noteIndex":0},"schema":"https://github.com/citation-style-language/schema/raw/master/csl-citation.json"}</w:instrText>
      </w:r>
      <w:r>
        <w:rPr>
          <w:rFonts w:ascii="Times New Roman" w:hAnsi="Times New Roman" w:cs="Times New Roman"/>
          <w:bCs/>
          <w:color w:val="000000" w:themeColor="text1"/>
          <w:sz w:val="24"/>
        </w:rPr>
        <w:fldChar w:fldCharType="separate"/>
      </w:r>
      <w:r w:rsidRPr="00A16913">
        <w:rPr>
          <w:rFonts w:ascii="Times New Roman" w:hAnsi="Times New Roman" w:cs="Times New Roman"/>
          <w:bCs/>
          <w:noProof/>
          <w:color w:val="000000" w:themeColor="text1"/>
          <w:sz w:val="24"/>
        </w:rPr>
        <w:t xml:space="preserve">Voogt &amp; Roblin </w:t>
      </w:r>
      <w:r>
        <w:rPr>
          <w:rFonts w:ascii="Times New Roman" w:hAnsi="Times New Roman" w:cs="Times New Roman"/>
          <w:bCs/>
          <w:noProof/>
          <w:color w:val="000000" w:themeColor="text1"/>
          <w:sz w:val="24"/>
          <w:lang w:val="en-US"/>
        </w:rPr>
        <w:t>(</w:t>
      </w:r>
      <w:r w:rsidRPr="00A16913">
        <w:rPr>
          <w:rFonts w:ascii="Times New Roman" w:hAnsi="Times New Roman" w:cs="Times New Roman"/>
          <w:bCs/>
          <w:noProof/>
          <w:color w:val="000000" w:themeColor="text1"/>
          <w:sz w:val="24"/>
        </w:rPr>
        <w:t>2012)</w:t>
      </w:r>
      <w:r>
        <w:rPr>
          <w:rFonts w:ascii="Times New Roman" w:hAnsi="Times New Roman" w:cs="Times New Roman"/>
          <w:bCs/>
          <w:color w:val="000000" w:themeColor="text1"/>
          <w:sz w:val="24"/>
        </w:rPr>
        <w:fldChar w:fldCharType="end"/>
      </w:r>
      <w:r>
        <w:rPr>
          <w:rFonts w:ascii="Times New Roman" w:hAnsi="Times New Roman" w:cs="Times New Roman"/>
          <w:bCs/>
          <w:color w:val="000000" w:themeColor="text1"/>
          <w:sz w:val="24"/>
          <w:lang w:val="en-US"/>
        </w:rPr>
        <w:t xml:space="preserve"> </w:t>
      </w:r>
      <w:r w:rsidRPr="00767EB5">
        <w:rPr>
          <w:rFonts w:ascii="Times New Roman" w:hAnsi="Times New Roman" w:cs="Times New Roman"/>
          <w:bCs/>
          <w:color w:val="000000" w:themeColor="text1"/>
          <w:sz w:val="24"/>
        </w:rPr>
        <w:t xml:space="preserve">explained that the 21st century or disruptive era requires skills such as </w:t>
      </w:r>
      <w:r w:rsidR="00206242" w:rsidRPr="00767EB5">
        <w:rPr>
          <w:rFonts w:ascii="Times New Roman" w:hAnsi="Times New Roman" w:cs="Times New Roman"/>
          <w:bCs/>
          <w:color w:val="000000" w:themeColor="text1"/>
          <w:sz w:val="24"/>
        </w:rPr>
        <w:t>Communication, Collaboration</w:t>
      </w:r>
      <w:r w:rsidR="00206242">
        <w:rPr>
          <w:rFonts w:ascii="Times New Roman" w:hAnsi="Times New Roman" w:cs="Times New Roman"/>
          <w:bCs/>
          <w:color w:val="000000" w:themeColor="text1"/>
          <w:sz w:val="24"/>
          <w:lang w:val="en-US"/>
        </w:rPr>
        <w:t>,</w:t>
      </w:r>
      <w:r w:rsidR="00206242" w:rsidRPr="00767EB5">
        <w:rPr>
          <w:rFonts w:ascii="Times New Roman" w:hAnsi="Times New Roman" w:cs="Times New Roman"/>
          <w:bCs/>
          <w:color w:val="000000" w:themeColor="text1"/>
          <w:sz w:val="24"/>
        </w:rPr>
        <w:t xml:space="preserve"> </w:t>
      </w:r>
      <w:r w:rsidRPr="00767EB5">
        <w:rPr>
          <w:rFonts w:ascii="Times New Roman" w:hAnsi="Times New Roman" w:cs="Times New Roman"/>
          <w:bCs/>
          <w:color w:val="000000" w:themeColor="text1"/>
          <w:sz w:val="24"/>
        </w:rPr>
        <w:t>Creativity,</w:t>
      </w:r>
      <w:r w:rsidR="00206242">
        <w:rPr>
          <w:rFonts w:ascii="Times New Roman" w:hAnsi="Times New Roman" w:cs="Times New Roman"/>
          <w:bCs/>
          <w:color w:val="000000" w:themeColor="text1"/>
          <w:sz w:val="24"/>
          <w:lang w:val="en-US"/>
        </w:rPr>
        <w:t xml:space="preserve"> dan</w:t>
      </w:r>
      <w:r w:rsidRPr="00767EB5">
        <w:rPr>
          <w:rFonts w:ascii="Times New Roman" w:hAnsi="Times New Roman" w:cs="Times New Roman"/>
          <w:bCs/>
          <w:color w:val="000000" w:themeColor="text1"/>
          <w:sz w:val="24"/>
        </w:rPr>
        <w:t xml:space="preserve"> Critical thinking, often shortened to 4C. These skills </w:t>
      </w:r>
      <w:r w:rsidR="00C40C7A" w:rsidRPr="00C40C7A">
        <w:rPr>
          <w:rFonts w:ascii="Times New Roman" w:hAnsi="Times New Roman" w:cs="Times New Roman"/>
          <w:bCs/>
          <w:color w:val="000000" w:themeColor="text1"/>
          <w:sz w:val="24"/>
        </w:rPr>
        <w:t>represent</w:t>
      </w:r>
      <w:r w:rsidR="00C40C7A">
        <w:rPr>
          <w:rFonts w:ascii="Times New Roman" w:hAnsi="Times New Roman" w:cs="Times New Roman"/>
          <w:bCs/>
          <w:color w:val="000000" w:themeColor="text1"/>
          <w:sz w:val="24"/>
          <w:lang w:val="en-US"/>
        </w:rPr>
        <w:t xml:space="preserve"> </w:t>
      </w:r>
      <w:r w:rsidRPr="00767EB5">
        <w:rPr>
          <w:rFonts w:ascii="Times New Roman" w:hAnsi="Times New Roman" w:cs="Times New Roman"/>
          <w:bCs/>
          <w:color w:val="000000" w:themeColor="text1"/>
          <w:sz w:val="24"/>
        </w:rPr>
        <w:t xml:space="preserve">the synchronization of needs between higher education and the world of work. Creativity enables students to produce innovative ideas that can contribute to and challenge further learning through new original learning with others </w:t>
      </w:r>
      <w:r>
        <w:rPr>
          <w:rFonts w:ascii="Times New Roman" w:hAnsi="Times New Roman" w:cs="Times New Roman"/>
          <w:bCs/>
          <w:color w:val="000000" w:themeColor="text1"/>
          <w:sz w:val="24"/>
        </w:rPr>
        <w:fldChar w:fldCharType="begin" w:fldLock="1"/>
      </w:r>
      <w:r>
        <w:rPr>
          <w:rFonts w:ascii="Times New Roman" w:hAnsi="Times New Roman" w:cs="Times New Roman"/>
          <w:bCs/>
          <w:color w:val="000000" w:themeColor="text1"/>
          <w:sz w:val="24"/>
        </w:rPr>
        <w:instrText>ADDIN CSL_CITATION {"citationItems":[{"id":"ITEM-1","itemData":{"DOI":"10.17719/jisr.2017.1638","ISSN":"1307-9581","abstract":"… century language pedagogy not only in Portuguese context observed by a non-Portuguese researcher. As such, this study discusses the impact of the ‘Four Cs’ in English language …","author":[{"dropping-particle":"","family":"Bekteshi","given":"Edita","non-dropping-particle":"","parse-names":false,"suffix":""}],"container-title":"Journal of International Social Research","id":"ITEM-1","issue":"50","issued":{"date-parts":[["2017"]]},"page":"56-62","title":"The 'fours cs - collaboration, communication, critical thinking and creativity at the faculty of arts (flup), university of porto, porto, portugal","type":"article-journal","volume":"10"},"uris":["http://www.mendeley.com/documents/?uuid=bdcfe011-94de-4b5f-be6e-2ffb35143855"]}],"mendeley":{"formattedCitation":"(Bekteshi, 2017)","plainTextFormattedCitation":"(Bekteshi, 2017)","previouslyFormattedCitation":"(Bekteshi, 2017)"},"properties":{"noteIndex":0},"schema":"https://github.com/citation-style-language/schema/raw/master/csl-citation.json"}</w:instrText>
      </w:r>
      <w:r>
        <w:rPr>
          <w:rFonts w:ascii="Times New Roman" w:hAnsi="Times New Roman" w:cs="Times New Roman"/>
          <w:bCs/>
          <w:color w:val="000000" w:themeColor="text1"/>
          <w:sz w:val="24"/>
        </w:rPr>
        <w:fldChar w:fldCharType="separate"/>
      </w:r>
      <w:r w:rsidRPr="00F801AB">
        <w:rPr>
          <w:rFonts w:ascii="Times New Roman" w:hAnsi="Times New Roman" w:cs="Times New Roman"/>
          <w:bCs/>
          <w:noProof/>
          <w:color w:val="000000" w:themeColor="text1"/>
          <w:sz w:val="24"/>
        </w:rPr>
        <w:t>(Bekteshi, 2017)</w:t>
      </w:r>
      <w:r>
        <w:rPr>
          <w:rFonts w:ascii="Times New Roman" w:hAnsi="Times New Roman" w:cs="Times New Roman"/>
          <w:bCs/>
          <w:color w:val="000000" w:themeColor="text1"/>
          <w:sz w:val="24"/>
        </w:rPr>
        <w:fldChar w:fldCharType="end"/>
      </w:r>
      <w:r w:rsidRPr="00767EB5">
        <w:rPr>
          <w:rFonts w:ascii="Times New Roman" w:hAnsi="Times New Roman" w:cs="Times New Roman"/>
          <w:bCs/>
          <w:color w:val="000000" w:themeColor="text1"/>
          <w:sz w:val="24"/>
        </w:rPr>
        <w:t xml:space="preserve">. </w:t>
      </w:r>
      <w:r w:rsidR="00206242" w:rsidRPr="00206242">
        <w:rPr>
          <w:rFonts w:ascii="Times New Roman" w:hAnsi="Times New Roman" w:cs="Times New Roman"/>
          <w:bCs/>
          <w:color w:val="000000" w:themeColor="text1"/>
          <w:sz w:val="24"/>
        </w:rPr>
        <w:t xml:space="preserve">Students' critical thinking skills can be used to make decisions to solve problems in various situations through ideas or ideas (inductive or deductive) </w:t>
      </w:r>
      <w:r w:rsidR="00206242">
        <w:rPr>
          <w:rFonts w:ascii="Times New Roman" w:hAnsi="Times New Roman" w:cs="Times New Roman"/>
          <w:bCs/>
          <w:color w:val="000000" w:themeColor="text1"/>
          <w:sz w:val="24"/>
          <w:lang w:val="sv-SE"/>
        </w:rPr>
        <w:fldChar w:fldCharType="begin" w:fldLock="1"/>
      </w:r>
      <w:r w:rsidR="00206242" w:rsidRPr="00767EB5">
        <w:rPr>
          <w:rFonts w:ascii="Times New Roman" w:hAnsi="Times New Roman" w:cs="Times New Roman"/>
          <w:bCs/>
          <w:color w:val="000000" w:themeColor="text1"/>
          <w:sz w:val="24"/>
          <w:lang w:val="en-US"/>
        </w:rPr>
        <w:instrText>ADDIN CSL_CITATION {"citationItems":[{"id":"ITEM-1","itemData":{"abstract":"The K4D Emerging Issues report series highlights research and emerging evidence to policy-makers to help inform policies that are more resilient to the future. K4D staff researchers work with thematic experts and DFID to identify where new or emerging research can inform and influence policy. This report is based on 26 days of desk-based research. K4D services are provided by a consortium of leading organisations working in international development, led by the Institute of Development Studies (IDS), with the Education Development Trust, Itad, University of Leeds Nuffield Centre for International Health and Development, Liverpool School of Tropical Medicine (LSTM), University of Birmingham International Development Department (IDD) and the University of Manchester Humanitarian and Conflict Response Institute (HCRI).","author":[{"dropping-particle":"","family":"Joynes","given":"Chris","non-dropping-particle":"","parse-names":false,"suffix":""},{"dropping-particle":"","family":"Rossignoli","given":"Serena","non-dropping-particle":"","parse-names":false,"suffix":""},{"dropping-particle":"","family":"Fenyiwa Amonoo-Kuofi","given":"Esi","non-dropping-particle":"","parse-names":false,"suffix":""}],"id":</w:instrText>
      </w:r>
      <w:r w:rsidR="00206242" w:rsidRPr="00393CD3">
        <w:rPr>
          <w:rFonts w:ascii="Times New Roman" w:hAnsi="Times New Roman" w:cs="Times New Roman"/>
          <w:bCs/>
          <w:color w:val="000000" w:themeColor="text1"/>
          <w:sz w:val="24"/>
          <w:lang w:val="en-US"/>
        </w:rPr>
        <w:instrText>"ITEM-1","issued":{"date-parts":[["2019"]]},"publisher":"Institute of Development Studies.","publisher-place":"Brighton, UK","title":"21st Century Skills: Evidence of issues in definition, demand and delivery for development contexts","type":"book"},"uris":["http://www.mendeley.com/documents/?uuid=aef925eb-5482-40c6-8a41-a31b7d11e2a7"]}],"mendeley":{"formattedCitation":"(Joynes et al., 2019)","plainTextFormattedCitation":"(Joynes et al., 2019)","previouslyFormattedCitation":"(Joynes et al., 2019)"},"properties":{"noteIndex":0},"schema":"https://github.com/citation-style-language/schema/raw/master/csl-citation.json"}</w:instrText>
      </w:r>
      <w:r w:rsidR="00206242">
        <w:rPr>
          <w:rFonts w:ascii="Times New Roman" w:hAnsi="Times New Roman" w:cs="Times New Roman"/>
          <w:bCs/>
          <w:color w:val="000000" w:themeColor="text1"/>
          <w:sz w:val="24"/>
          <w:lang w:val="sv-SE"/>
        </w:rPr>
        <w:fldChar w:fldCharType="separate"/>
      </w:r>
      <w:r w:rsidR="00206242" w:rsidRPr="00393CD3">
        <w:rPr>
          <w:rFonts w:ascii="Times New Roman" w:hAnsi="Times New Roman" w:cs="Times New Roman"/>
          <w:bCs/>
          <w:noProof/>
          <w:color w:val="000000" w:themeColor="text1"/>
          <w:sz w:val="24"/>
          <w:lang w:val="en-US"/>
        </w:rPr>
        <w:t>(Joynes et al., 2019)</w:t>
      </w:r>
      <w:r w:rsidR="00206242">
        <w:rPr>
          <w:rFonts w:ascii="Times New Roman" w:hAnsi="Times New Roman" w:cs="Times New Roman"/>
          <w:bCs/>
          <w:color w:val="000000" w:themeColor="text1"/>
          <w:sz w:val="24"/>
          <w:lang w:val="sv-SE"/>
        </w:rPr>
        <w:fldChar w:fldCharType="end"/>
      </w:r>
      <w:r w:rsidR="00206242" w:rsidRPr="00206242">
        <w:rPr>
          <w:rFonts w:ascii="Times New Roman" w:hAnsi="Times New Roman" w:cs="Times New Roman"/>
          <w:bCs/>
          <w:color w:val="000000" w:themeColor="text1"/>
          <w:sz w:val="24"/>
        </w:rPr>
        <w:t xml:space="preserve">. Good communication skills are expected to enable students to express themselves effectively, both in productive skills in oral or written form </w:t>
      </w:r>
      <w:r w:rsidR="00C40C7A" w:rsidRPr="00C40C7A">
        <w:rPr>
          <w:rFonts w:ascii="Times New Roman" w:hAnsi="Times New Roman" w:cs="Times New Roman"/>
          <w:bCs/>
          <w:color w:val="000000" w:themeColor="text1"/>
          <w:sz w:val="24"/>
        </w:rPr>
        <w:t xml:space="preserve">and in </w:t>
      </w:r>
      <w:r w:rsidR="00206242" w:rsidRPr="00206242">
        <w:rPr>
          <w:rFonts w:ascii="Times New Roman" w:hAnsi="Times New Roman" w:cs="Times New Roman"/>
          <w:bCs/>
          <w:color w:val="000000" w:themeColor="text1"/>
          <w:sz w:val="24"/>
        </w:rPr>
        <w:t xml:space="preserve">receptive skills such as listening and reading </w:t>
      </w:r>
      <w:r w:rsidR="00206242">
        <w:rPr>
          <w:rFonts w:ascii="Times New Roman" w:hAnsi="Times New Roman" w:cs="Times New Roman"/>
          <w:bCs/>
          <w:color w:val="000000" w:themeColor="text1"/>
          <w:sz w:val="24"/>
        </w:rPr>
        <w:fldChar w:fldCharType="begin" w:fldLock="1"/>
      </w:r>
      <w:r w:rsidR="00206242">
        <w:rPr>
          <w:rFonts w:ascii="Times New Roman" w:hAnsi="Times New Roman" w:cs="Times New Roman"/>
          <w:bCs/>
          <w:color w:val="000000" w:themeColor="text1"/>
          <w:sz w:val="24"/>
        </w:rPr>
        <w:instrText>ADDIN CSL_CITATION {"citationItems":[{"id":"ITEM-1","itemData":{"DOI":"10.17719/jisr.2017.1638","ISSN":"1307-9581","abstract":"… century language pedagogy not only in Portuguese context observed by a non-Portuguese researcher. As such, this study discusses the impact of the ‘Four Cs’ in English language …","author":[{"dropping-particle":"","family":"Bekteshi","given":"Edita","non-dropping-particle":"","parse-names":false,"suffix":""}],"container-title":"Journal of International Social Research","id":"ITEM-1","issue":"50","issued":{"date-parts":[["2017"]]},"page":"56-62","title":"The 'fours cs - collaboration, communication, critical thinking and creativity at the faculty of arts (flup), university of porto, porto, portugal","type":"article-journal","volume":"10"},"uris":["http://www.mendeley.com/documents/?uuid=bdcfe011-94de-4b5f-be6e-2ffb35143855"]}],"mendeley":{"formattedCitation":"(Bekteshi, 2017)","plainTextFormattedCitation":"(Bekteshi, 2017)","previouslyFormattedCitation":"(Bekteshi, 2017)"},"properties":{"noteIndex":0},"schema":"https://github.com/citation-style-language/schema/raw/master/csl-citation.json"}</w:instrText>
      </w:r>
      <w:r w:rsidR="00206242">
        <w:rPr>
          <w:rFonts w:ascii="Times New Roman" w:hAnsi="Times New Roman" w:cs="Times New Roman"/>
          <w:bCs/>
          <w:color w:val="000000" w:themeColor="text1"/>
          <w:sz w:val="24"/>
        </w:rPr>
        <w:fldChar w:fldCharType="separate"/>
      </w:r>
      <w:r w:rsidR="00206242" w:rsidRPr="00F801AB">
        <w:rPr>
          <w:rFonts w:ascii="Times New Roman" w:hAnsi="Times New Roman" w:cs="Times New Roman"/>
          <w:bCs/>
          <w:noProof/>
          <w:color w:val="000000" w:themeColor="text1"/>
          <w:sz w:val="24"/>
        </w:rPr>
        <w:t>(Bekteshi, 2017)</w:t>
      </w:r>
      <w:r w:rsidR="00206242">
        <w:rPr>
          <w:rFonts w:ascii="Times New Roman" w:hAnsi="Times New Roman" w:cs="Times New Roman"/>
          <w:bCs/>
          <w:color w:val="000000" w:themeColor="text1"/>
          <w:sz w:val="24"/>
        </w:rPr>
        <w:fldChar w:fldCharType="end"/>
      </w:r>
      <w:r w:rsidR="00206242" w:rsidRPr="00206242">
        <w:rPr>
          <w:rFonts w:ascii="Times New Roman" w:hAnsi="Times New Roman" w:cs="Times New Roman"/>
          <w:bCs/>
          <w:color w:val="000000" w:themeColor="text1"/>
          <w:sz w:val="24"/>
        </w:rPr>
        <w:t xml:space="preserve">. The collaboration skills possessed by students can be used by them to work together with other members in carrying out an activity </w:t>
      </w:r>
      <w:r w:rsidR="00206242">
        <w:rPr>
          <w:rFonts w:ascii="Times New Roman" w:hAnsi="Times New Roman" w:cs="Times New Roman"/>
          <w:bCs/>
          <w:color w:val="000000" w:themeColor="text1"/>
          <w:sz w:val="24"/>
          <w:lang w:val="sv-SE"/>
        </w:rPr>
        <w:fldChar w:fldCharType="begin" w:fldLock="1"/>
      </w:r>
      <w:r w:rsidR="00206242" w:rsidRPr="00767EB5">
        <w:rPr>
          <w:rFonts w:ascii="Times New Roman" w:hAnsi="Times New Roman" w:cs="Times New Roman"/>
          <w:bCs/>
          <w:color w:val="000000" w:themeColor="text1"/>
          <w:sz w:val="24"/>
          <w:lang w:val="en-US"/>
        </w:rPr>
        <w:instrText>ADDIN CSL_CITATION {"citationItems":[{"id":"ITEM-1","itemData":{"abstract":"The K4D Emerging Issues report series highlights research and emerging evidence to policy-makers to help inform policies that are more resilient to the future. K4D staff researchers work with thematic experts and DFID to identify where new or emerging research can inform and influence policy. This report is based on 26 days of desk-based research. K4D services are provided by a consortium of leading organisations working in international development, led by the Institute of Development Studies (IDS), with the Education Development Trust, Itad, University of Leeds Nuffield Centre for International Health and Development, Liverpool School of Tropical Medicine (LSTM), University of Birmingham International Development Department (IDD) and the University of Manchester Humanitarian and Conflict Response Institute (HCRI).","author":[{"dropping-particle":"","family":"Joynes","given":"Chris","non-dropping-particle":"","parse-names":false,"suffix":""},{"dropping-particle":"","family":"Rossignoli","given":"Serena","non-dropping-particle":"","parse-names":false,"suffix":""},{"dropping-particle":"","family":"Fenyiwa Amonoo-Kuofi","given":"Esi","non-dropping-particle":"","parse-names":false,"suffix":""}],"id":</w:instrText>
      </w:r>
      <w:r w:rsidR="00206242" w:rsidRPr="00393CD3">
        <w:rPr>
          <w:rFonts w:ascii="Times New Roman" w:hAnsi="Times New Roman" w:cs="Times New Roman"/>
          <w:bCs/>
          <w:color w:val="000000" w:themeColor="text1"/>
          <w:sz w:val="24"/>
          <w:lang w:val="en-US"/>
        </w:rPr>
        <w:instrText>"ITEM-1","issued":{"date-parts":[["2019"]]},"publisher":"Institute of Development Studies.","publisher-place":"Brighton, UK","title":"21st Century Skills: Evidence of issues in definition, demand and delivery for development contexts","type":"book"},"uris":["http://www.mendeley.com/documents/?uuid=aef925eb-5482-40c6-8a41-a31b7d11e2a7"]}],"mendeley":{"formattedCitation":"(Joynes et al., 2019)","plainTextFormattedCitation":"(Joynes et al., 2019)","previouslyFormattedCitation":"(Joynes et al., 2019)"},"properties":{"noteIndex":0},"schema":"https://github.com/citation-style-language/schema/raw/master/csl-citation.json"}</w:instrText>
      </w:r>
      <w:r w:rsidR="00206242">
        <w:rPr>
          <w:rFonts w:ascii="Times New Roman" w:hAnsi="Times New Roman" w:cs="Times New Roman"/>
          <w:bCs/>
          <w:color w:val="000000" w:themeColor="text1"/>
          <w:sz w:val="24"/>
          <w:lang w:val="sv-SE"/>
        </w:rPr>
        <w:fldChar w:fldCharType="separate"/>
      </w:r>
      <w:r w:rsidR="00206242" w:rsidRPr="00393CD3">
        <w:rPr>
          <w:rFonts w:ascii="Times New Roman" w:hAnsi="Times New Roman" w:cs="Times New Roman"/>
          <w:bCs/>
          <w:noProof/>
          <w:color w:val="000000" w:themeColor="text1"/>
          <w:sz w:val="24"/>
          <w:lang w:val="en-US"/>
        </w:rPr>
        <w:t>(Joynes et al., 2019)</w:t>
      </w:r>
      <w:r w:rsidR="00206242">
        <w:rPr>
          <w:rFonts w:ascii="Times New Roman" w:hAnsi="Times New Roman" w:cs="Times New Roman"/>
          <w:bCs/>
          <w:color w:val="000000" w:themeColor="text1"/>
          <w:sz w:val="24"/>
          <w:lang w:val="sv-SE"/>
        </w:rPr>
        <w:fldChar w:fldCharType="end"/>
      </w:r>
      <w:r w:rsidR="00206242" w:rsidRPr="00206242">
        <w:rPr>
          <w:rFonts w:ascii="Times New Roman" w:hAnsi="Times New Roman" w:cs="Times New Roman"/>
          <w:bCs/>
          <w:color w:val="000000" w:themeColor="text1"/>
          <w:sz w:val="24"/>
        </w:rPr>
        <w:t>.</w:t>
      </w:r>
    </w:p>
    <w:p w14:paraId="45613F40" w14:textId="713BB86F" w:rsidR="00767EB5" w:rsidRDefault="00767EB5" w:rsidP="00E169C4">
      <w:pPr>
        <w:spacing w:after="0" w:line="276" w:lineRule="auto"/>
        <w:ind w:firstLine="720"/>
        <w:jc w:val="both"/>
        <w:rPr>
          <w:rFonts w:ascii="Times New Roman" w:hAnsi="Times New Roman" w:cs="Times New Roman"/>
          <w:bCs/>
          <w:color w:val="000000" w:themeColor="text1"/>
          <w:sz w:val="24"/>
          <w:lang w:val="en-US"/>
        </w:rPr>
      </w:pPr>
      <w:r w:rsidRPr="00767EB5">
        <w:rPr>
          <w:rFonts w:ascii="Times New Roman" w:hAnsi="Times New Roman" w:cs="Times New Roman"/>
          <w:bCs/>
          <w:color w:val="000000" w:themeColor="text1"/>
          <w:sz w:val="24"/>
          <w:lang w:val="en-US"/>
        </w:rPr>
        <w:t xml:space="preserve">Information and Communication Technology (ICT) development impacts the need for skills in daily life, education, or work. Everyone needs the 4C skills associated with digital skills. The demands of content-related digital skills are becoming increasingly important in 4C skills. </w:t>
      </w:r>
      <w:r w:rsidRPr="00767EB5">
        <w:rPr>
          <w:rFonts w:ascii="Times New Roman" w:hAnsi="Times New Roman" w:cs="Times New Roman"/>
          <w:bCs/>
          <w:color w:val="000000" w:themeColor="text1"/>
          <w:sz w:val="24"/>
          <w:lang w:val="en-US"/>
        </w:rPr>
        <w:lastRenderedPageBreak/>
        <w:t xml:space="preserve">Integrating the two is a skill required in today's world of education and work for everyone to function effectively as a student, worker, and citizen </w:t>
      </w:r>
      <w:r>
        <w:rPr>
          <w:rFonts w:ascii="Times New Roman" w:hAnsi="Times New Roman" w:cs="Times New Roman"/>
          <w:bCs/>
          <w:color w:val="000000" w:themeColor="text1"/>
          <w:sz w:val="24"/>
          <w:lang w:val="sv-SE"/>
        </w:rPr>
        <w:fldChar w:fldCharType="begin" w:fldLock="1"/>
      </w:r>
      <w:r w:rsidRPr="00767EB5">
        <w:rPr>
          <w:rFonts w:ascii="Times New Roman" w:hAnsi="Times New Roman" w:cs="Times New Roman"/>
          <w:bCs/>
          <w:color w:val="000000" w:themeColor="text1"/>
          <w:sz w:val="24"/>
          <w:lang w:val="en-US"/>
        </w:rPr>
        <w:instrText>ADDIN CSL_CITATION {"citationItems":[{"id":"ITEM-1","itemData":{"ISBN":"1283456362 9786613456366 9400723245","abstract":"Rapid—and seemingly accelerating—changes in the economies of developed nations are having a proportional effect on the skill sets required of workers in many new jobs. Work environments are often technology-heavy, while problems are frequently ill-defined and tackled by multidisciplinary teams. This book contains insights based on research conducted as part of a major international project supported by Cisco, Intel and Microsoft. It faces these new working environments head-on, delineating new ways of thinking about ‘21st-century’ skills and including operational definitions of those skills. The authors focus too on fresh approaches to educational assessment, and present methodological and technological solutions to the barriers that hinder ICT-based assessments of these skills, whether in large-scale surveys or classrooms. Equally committed to defining its terms and providing practical solutions, and including international perspectives and comparative evaluations of assessment methodology and policy, this volume tackles an issue at the top of most educationalists’ agendas.","author":[{"dropping-particle":"","family":"Griffin","given":"Patrick","non-dropping-particle":"","parse-names":false,"suffix":""},{"dropping-particle":"","family":"McGaw","given":"Barry","non-dropping-particle":"","parse-names":false,"suffix":""},{"dropping-particle":"","family":"Care","given":"Esther","non-dropping-particle":"","parse-names":false,"suffix":""}],"id":"ITEM-1","issued":{"date-parts":[["2012"]]},"publisher":"Springer","publisher-place":"Dordrecht, the Netherlands","title":"Assessment and Teaching of 21st Century Skills","type":"book"},"uris":["http://www.mendeley.com/documents/?uuid=8c4391a6-adb0-4c0a-955d-d64a97700289"]}],"mendeley":{"formattedCitation":"(Griffin et al., 2012)","plainTextFormattedCitation":"(Griffin et al., 2012)","previouslyFormattedCitation":"(Griffin et al., 2012)"},"properties":{"noteIndex":0},"schema":"https://github.com/citation-style-language/schema/raw/master/csl-citation.json"}</w:instrText>
      </w:r>
      <w:r>
        <w:rPr>
          <w:rFonts w:ascii="Times New Roman" w:hAnsi="Times New Roman" w:cs="Times New Roman"/>
          <w:bCs/>
          <w:color w:val="000000" w:themeColor="text1"/>
          <w:sz w:val="24"/>
          <w:lang w:val="sv-SE"/>
        </w:rPr>
        <w:fldChar w:fldCharType="separate"/>
      </w:r>
      <w:r w:rsidRPr="00767EB5">
        <w:rPr>
          <w:rFonts w:ascii="Times New Roman" w:hAnsi="Times New Roman" w:cs="Times New Roman"/>
          <w:bCs/>
          <w:noProof/>
          <w:color w:val="000000" w:themeColor="text1"/>
          <w:sz w:val="24"/>
          <w:lang w:val="en-US"/>
        </w:rPr>
        <w:t>(Griffin et al., 2012)</w:t>
      </w:r>
      <w:r>
        <w:rPr>
          <w:rFonts w:ascii="Times New Roman" w:hAnsi="Times New Roman" w:cs="Times New Roman"/>
          <w:bCs/>
          <w:color w:val="000000" w:themeColor="text1"/>
          <w:sz w:val="24"/>
          <w:lang w:val="sv-SE"/>
        </w:rPr>
        <w:fldChar w:fldCharType="end"/>
      </w:r>
      <w:r w:rsidRPr="00767EB5">
        <w:rPr>
          <w:rFonts w:ascii="Times New Roman" w:hAnsi="Times New Roman" w:cs="Times New Roman"/>
          <w:bCs/>
          <w:color w:val="000000" w:themeColor="text1"/>
          <w:sz w:val="24"/>
          <w:lang w:val="en-US"/>
        </w:rPr>
        <w:t xml:space="preserve">. Only a few experts define the relationship between 4C and digital skills. </w:t>
      </w:r>
      <w:r>
        <w:rPr>
          <w:rFonts w:ascii="Times New Roman" w:hAnsi="Times New Roman" w:cs="Times New Roman"/>
          <w:bCs/>
          <w:color w:val="000000" w:themeColor="text1"/>
          <w:sz w:val="24"/>
          <w:lang w:val="sv-SE"/>
        </w:rPr>
        <w:fldChar w:fldCharType="begin" w:fldLock="1"/>
      </w:r>
      <w:r w:rsidRPr="00393CD3">
        <w:rPr>
          <w:rFonts w:ascii="Times New Roman" w:hAnsi="Times New Roman" w:cs="Times New Roman"/>
          <w:bCs/>
          <w:color w:val="000000" w:themeColor="text1"/>
          <w:sz w:val="24"/>
          <w:lang w:val="en-US"/>
        </w:rPr>
        <w:instrText>ADDIN CSL_CITATION {"citationItems":[{"id":"ITEM-1","itemData":{"abstract":"The importance of 21st-century digital skills has been well established. However, research often fails to examine how various skills relate to each other. Through a survey of a sample of 1,222 professionals working in the creative industries, we tested, by using path analysis, whether six 21st-century digital skills have a sequential and conditional nature. The sequence of the model starts with information and communication digital skills, followed by collaboration, critical thinking, and creative digital skills. All skills lead to problem-solving digital skills. The results confirm that the analyzed skills build on each other sequentially. To understand what interventions might be successful, the relations among various digital skills should be considered.","author":[{"dropping-particle":"Van","family":"Laar","given":"Ester","non-dropping-particle":"","parse-names":false,"suffix":""},{"dropping-particle":"Van","family":"Deursen","given":"Alexander J. A. M.","non-dropping-particle":"","parse-names":false,"suffix":""},{"dropping-particle":"Van","family":"Dijk","given":"Jan A. G. M.","non-dropping-particle":"","parse-names":false,"suffix":""}],"container-title":"International Journal of Communication","id":"ITEM-1","issue":"409","issued":{"date-parts":[["2019"]]},"page":"3462-3487","title":"The Sequential and Conditional Nature o</w:instrText>
      </w:r>
      <w:r>
        <w:rPr>
          <w:rFonts w:ascii="Times New Roman" w:hAnsi="Times New Roman" w:cs="Times New Roman"/>
          <w:bCs/>
          <w:color w:val="000000" w:themeColor="text1"/>
          <w:sz w:val="24"/>
          <w:lang w:val="sv-SE"/>
        </w:rPr>
        <w:instrText>f 21st-Century Digital Skills","type":"article-journal","volume":"13"},"uris":["http://www.mendeley.com/documents/?uuid=3f99e121-111b-4220-bbf9-9c6737c062fe"]}],"mendeley":{"formattedCitation":"(Laar et al., 2019)","manualFormatting":"Van Laar et al. (2019)","plainTextFormattedCitation":"(Laar et al., 2019)","previouslyFormattedCitation":"(Laar et al., 2019)"},"properties":{"noteIndex":0},"schema":"https://github.com/citation-style-language/schema/raw/master/csl-citation.json"}</w:instrText>
      </w:r>
      <w:r>
        <w:rPr>
          <w:rFonts w:ascii="Times New Roman" w:hAnsi="Times New Roman" w:cs="Times New Roman"/>
          <w:bCs/>
          <w:color w:val="000000" w:themeColor="text1"/>
          <w:sz w:val="24"/>
          <w:lang w:val="sv-SE"/>
        </w:rPr>
        <w:fldChar w:fldCharType="separate"/>
      </w:r>
      <w:r w:rsidRPr="00767EB5">
        <w:rPr>
          <w:rFonts w:ascii="Times New Roman" w:hAnsi="Times New Roman" w:cs="Times New Roman"/>
          <w:bCs/>
          <w:noProof/>
          <w:color w:val="000000" w:themeColor="text1"/>
          <w:sz w:val="24"/>
          <w:lang w:val="en-US"/>
        </w:rPr>
        <w:t>Van Laar et al. (2019)</w:t>
      </w:r>
      <w:r>
        <w:rPr>
          <w:rFonts w:ascii="Times New Roman" w:hAnsi="Times New Roman" w:cs="Times New Roman"/>
          <w:bCs/>
          <w:color w:val="000000" w:themeColor="text1"/>
          <w:sz w:val="24"/>
          <w:lang w:val="sv-SE"/>
        </w:rPr>
        <w:fldChar w:fldCharType="end"/>
      </w:r>
      <w:r w:rsidRPr="00767EB5">
        <w:rPr>
          <w:rFonts w:ascii="Times New Roman" w:hAnsi="Times New Roman" w:cs="Times New Roman"/>
          <w:bCs/>
          <w:color w:val="000000" w:themeColor="text1"/>
          <w:sz w:val="24"/>
          <w:lang w:val="en-US"/>
        </w:rPr>
        <w:t xml:space="preserve"> define digital 4C skills as skills that define what students or workers can do with ICT to support a wider spectrum of 4C skills and essentially make full use of ICT.</w:t>
      </w:r>
    </w:p>
    <w:p w14:paraId="1B1F68D9" w14:textId="0A1E4F7F" w:rsidR="00767EB5" w:rsidRPr="00767EB5" w:rsidRDefault="00767EB5" w:rsidP="00E169C4">
      <w:pPr>
        <w:spacing w:after="0" w:line="276" w:lineRule="auto"/>
        <w:ind w:firstLine="720"/>
        <w:jc w:val="both"/>
        <w:rPr>
          <w:rFonts w:ascii="Times New Roman" w:hAnsi="Times New Roman" w:cs="Times New Roman"/>
          <w:bCs/>
          <w:color w:val="000000" w:themeColor="text1"/>
          <w:sz w:val="24"/>
          <w:lang w:val="en-US"/>
        </w:rPr>
      </w:pPr>
      <w:r w:rsidRPr="00767EB5">
        <w:rPr>
          <w:rFonts w:ascii="Times New Roman" w:hAnsi="Times New Roman" w:cs="Times New Roman"/>
          <w:bCs/>
          <w:color w:val="000000" w:themeColor="text1"/>
          <w:sz w:val="24"/>
          <w:lang w:val="en-US"/>
        </w:rPr>
        <w:t xml:space="preserve">Based on studies related to 4C skills, </w:t>
      </w:r>
      <w:r w:rsidR="00C40C7A">
        <w:rPr>
          <w:rFonts w:ascii="Times New Roman" w:hAnsi="Times New Roman" w:cs="Times New Roman"/>
          <w:bCs/>
          <w:color w:val="000000" w:themeColor="text1"/>
          <w:sz w:val="24"/>
          <w:lang w:val="en-US"/>
        </w:rPr>
        <w:t>o</w:t>
      </w:r>
      <w:r w:rsidRPr="00767EB5">
        <w:rPr>
          <w:rFonts w:ascii="Times New Roman" w:hAnsi="Times New Roman" w:cs="Times New Roman"/>
          <w:bCs/>
          <w:color w:val="000000" w:themeColor="text1"/>
          <w:sz w:val="24"/>
          <w:lang w:val="en-US"/>
        </w:rPr>
        <w:t xml:space="preserve">nly a little information has been found regarding integrating 4C skills and digital skills. Research conducted by </w:t>
      </w:r>
      <w:r>
        <w:rPr>
          <w:rFonts w:ascii="Times New Roman" w:hAnsi="Times New Roman" w:cs="Times New Roman"/>
          <w:bCs/>
          <w:color w:val="000000" w:themeColor="text1"/>
          <w:sz w:val="24"/>
          <w:lang w:val="en-US"/>
        </w:rPr>
        <w:fldChar w:fldCharType="begin" w:fldLock="1"/>
      </w:r>
      <w:r w:rsidRPr="00767EB5">
        <w:rPr>
          <w:rFonts w:ascii="Times New Roman" w:hAnsi="Times New Roman" w:cs="Times New Roman"/>
          <w:bCs/>
          <w:color w:val="000000" w:themeColor="text1"/>
          <w:sz w:val="24"/>
          <w:lang w:val="en-US"/>
        </w:rPr>
        <w:instrText>ADDIN CSL_CITATION {"citationItems":[{"id":"ITEM-1","itemData":{"DOI":"10.26737/jipf.v6i1.1889","ISSN":"2477-5959","abstract":"The development of life in the 21st century requires a variety of skills that one must master. Physics learning in schools has a central role in providing 21st-century skills to students. Physics learning is an integrated field that facilitates 21st-century skills and much research is being done in this field. The purpose of this research is to provide a review or general overview related to 21st-century skills-based physics learning research (Communication, Collaboration, Critical Thinking, and Problem Solving, and Creativity and Innovation) in Indonesia. This type of research is a literature study. The articles analyzed are articles published in Sinta-accredited national journals with publication years ranging from 2015-2020 and Scopus indexed international journals, as well as journal research fields focusing on evaluation and learning physics. The number of articles analyzed was 300 articles from national and international journals. From 2015 to 2020, critical thinking skills were the most researched topic with a percentage of 12% and 27% of researchers did not mention the physics topic studied in their research. A lot of learning research, especially physics learning, focuses on a quantitative approach in solving problems in the field of physics education in this case related to 21st-century skills. Most of the 4C skills-based physics learning research uses a relatively small sample of under 100 samples with the majority of the research locations being found mostly focused on Bali-Nusra and Java. The research subjects most frequently researched regarding 21st-century skills are high school level (SMA/SMK/MA).","author":[{"dropping-particle":"","family":"Hidayatullah","given":"Zul","non-dropping-particle":"","parse-names":false,"suffix":""},{"dropping-particle":"","family":"Wilujeng","given":"Insih","non-dropping-particle":"","parse-names":false,"suffix":""},{"dropping-particle":"","family":"Nurhasanah","given":"Nurhasanah","non-dropping-particle":"","parse-names":false,"suffix":""},{"dropping-particle":"","family":"Gusemanto","given":"Theofilus Gratiamus","non-dropping-particle":"","parse-names":false,"suffix":""},{"dropping-particle":"","family":"Makhrus","given":"Muh.","non-dropping-particle":"","parse-names":false,"suffix":""}],"container-title":"JIPF (Jurnal Ilmu Pendidikan Fisika)","id":"ITEM-1","issue":"1","issued":{"date-parts":[["2021"]]},"page":"88","title":"Synthesis of the 21st Century Skills (4C) Based Physics Education Research In Indonesia","type":"article-journal","volume":"6"},"uris":["http://www.mendeley.com/documents/?uuid=d41e4859-15e3-4914-b5c6-f3379bb77fd5"]}],"mendeley":{"formattedCitation":"(Hidayatullah et al., 2021)","manualFormatting":"Hidayatullah et al. (2021)","plainTextFormattedCitation":"(Hidayatullah et al., 2021)","previouslyFormattedCitation":"(Hidayatullah et al., 2021)"},"properties":{"noteIndex":0},"schema":"https://github.com/citation-style-language/schema/raw/master/csl-citation.json"}</w:instrText>
      </w:r>
      <w:r>
        <w:rPr>
          <w:rFonts w:ascii="Times New Roman" w:hAnsi="Times New Roman" w:cs="Times New Roman"/>
          <w:bCs/>
          <w:color w:val="000000" w:themeColor="text1"/>
          <w:sz w:val="24"/>
          <w:lang w:val="en-US"/>
        </w:rPr>
        <w:fldChar w:fldCharType="separate"/>
      </w:r>
      <w:r w:rsidRPr="00767EB5">
        <w:rPr>
          <w:rFonts w:ascii="Times New Roman" w:hAnsi="Times New Roman" w:cs="Times New Roman"/>
          <w:bCs/>
          <w:noProof/>
          <w:color w:val="000000" w:themeColor="text1"/>
          <w:sz w:val="24"/>
          <w:lang w:val="en-US"/>
        </w:rPr>
        <w:t>Hidayatullah et al. (2021)</w:t>
      </w:r>
      <w:r>
        <w:rPr>
          <w:rFonts w:ascii="Times New Roman" w:hAnsi="Times New Roman" w:cs="Times New Roman"/>
          <w:bCs/>
          <w:color w:val="000000" w:themeColor="text1"/>
          <w:sz w:val="24"/>
          <w:lang w:val="en-US"/>
        </w:rPr>
        <w:fldChar w:fldCharType="end"/>
      </w:r>
      <w:r>
        <w:rPr>
          <w:rFonts w:ascii="Times New Roman" w:hAnsi="Times New Roman" w:cs="Times New Roman"/>
          <w:bCs/>
          <w:color w:val="000000" w:themeColor="text1"/>
          <w:sz w:val="24"/>
          <w:lang w:val="en-US"/>
        </w:rPr>
        <w:t xml:space="preserve"> </w:t>
      </w:r>
      <w:r w:rsidRPr="00767EB5">
        <w:rPr>
          <w:rFonts w:ascii="Times New Roman" w:hAnsi="Times New Roman" w:cs="Times New Roman"/>
          <w:bCs/>
          <w:color w:val="000000" w:themeColor="text1"/>
          <w:sz w:val="24"/>
          <w:lang w:val="en-US"/>
        </w:rPr>
        <w:t>relating to the synthesis of 4C skills in Indonesia revealed that from 2015–2020 there were around 300 articles that examined the 4C skills in learning physics. In this study, it has not been explained that there is research that integrates 4C skills with digital skills.</w:t>
      </w:r>
    </w:p>
    <w:p w14:paraId="4813EC9F" w14:textId="5D70BFE1" w:rsidR="001F1371" w:rsidRPr="0014517F" w:rsidRDefault="0014517F" w:rsidP="001F1371">
      <w:pPr>
        <w:spacing w:after="0" w:line="276" w:lineRule="auto"/>
        <w:ind w:firstLine="720"/>
        <w:jc w:val="both"/>
        <w:rPr>
          <w:rFonts w:ascii="Times New Roman" w:hAnsi="Times New Roman" w:cs="Times New Roman"/>
          <w:bCs/>
          <w:color w:val="000000" w:themeColor="text1"/>
          <w:sz w:val="24"/>
          <w:lang w:val="en-US"/>
        </w:rPr>
      </w:pPr>
      <w:r w:rsidRPr="0014517F">
        <w:rPr>
          <w:rFonts w:ascii="Times New Roman" w:hAnsi="Times New Roman" w:cs="Times New Roman"/>
          <w:bCs/>
          <w:color w:val="000000" w:themeColor="text1"/>
          <w:sz w:val="24"/>
          <w:lang w:val="en-US"/>
        </w:rPr>
        <w:t>There is still little information about 4C skills integrated with digital skills. Even though these skills are important to be imparted to students, studying the concept of 4C skills is necessary. This study aims to examine what aspects are needed in the 4C digital skills and analyze the 4C digital skills of a pre-service physics teachers.</w:t>
      </w:r>
    </w:p>
    <w:p w14:paraId="0E6703A1" w14:textId="77777777" w:rsidR="00451C94" w:rsidRPr="00D93839" w:rsidRDefault="00451C94" w:rsidP="00451C94">
      <w:pPr>
        <w:spacing w:after="0" w:line="276" w:lineRule="auto"/>
        <w:ind w:firstLine="720"/>
        <w:jc w:val="both"/>
        <w:rPr>
          <w:rFonts w:ascii="Times New Roman" w:hAnsi="Times New Roman" w:cs="Times New Roman"/>
          <w:sz w:val="24"/>
          <w:szCs w:val="24"/>
        </w:rPr>
      </w:pPr>
    </w:p>
    <w:p w14:paraId="2102FE99" w14:textId="1095A602" w:rsidR="00451C94" w:rsidRDefault="00451C94" w:rsidP="00451C94">
      <w:pPr>
        <w:numPr>
          <w:ilvl w:val="0"/>
          <w:numId w:val="1"/>
        </w:numPr>
        <w:tabs>
          <w:tab w:val="left" w:pos="426"/>
        </w:tabs>
        <w:spacing w:after="0" w:line="276" w:lineRule="auto"/>
        <w:ind w:left="426" w:hanging="426"/>
        <w:rPr>
          <w:rFonts w:ascii="Times New Roman" w:hAnsi="Times New Roman" w:cs="Times New Roman"/>
          <w:b/>
          <w:bCs/>
          <w:sz w:val="24"/>
          <w:szCs w:val="24"/>
        </w:rPr>
      </w:pPr>
      <w:r w:rsidRPr="00451C94">
        <w:rPr>
          <w:rFonts w:ascii="Times New Roman" w:hAnsi="Times New Roman" w:cs="Times New Roman"/>
          <w:b/>
          <w:bCs/>
          <w:sz w:val="24"/>
          <w:szCs w:val="24"/>
        </w:rPr>
        <w:t>METHOD</w:t>
      </w:r>
    </w:p>
    <w:p w14:paraId="0AEDF586" w14:textId="77777777" w:rsidR="00451C94" w:rsidRPr="00451C94" w:rsidRDefault="00451C94" w:rsidP="00451C94">
      <w:pPr>
        <w:tabs>
          <w:tab w:val="left" w:pos="426"/>
        </w:tabs>
        <w:spacing w:after="0" w:line="276" w:lineRule="auto"/>
        <w:ind w:left="426"/>
        <w:rPr>
          <w:rFonts w:ascii="Times New Roman" w:hAnsi="Times New Roman" w:cs="Times New Roman"/>
          <w:b/>
          <w:bCs/>
          <w:sz w:val="24"/>
          <w:szCs w:val="24"/>
        </w:rPr>
      </w:pPr>
    </w:p>
    <w:p w14:paraId="04753BFC" w14:textId="0E4AE099" w:rsidR="0014517F" w:rsidRPr="0014517F" w:rsidRDefault="0014517F" w:rsidP="00684338">
      <w:pPr>
        <w:spacing w:after="0" w:line="276" w:lineRule="auto"/>
        <w:ind w:firstLine="720"/>
        <w:jc w:val="both"/>
        <w:rPr>
          <w:rFonts w:ascii="Times New Roman" w:hAnsi="Times New Roman" w:cs="Times New Roman"/>
          <w:sz w:val="24"/>
          <w:szCs w:val="24"/>
          <w:lang w:val="en-US"/>
        </w:rPr>
      </w:pPr>
      <w:r w:rsidRPr="0014517F">
        <w:rPr>
          <w:rFonts w:ascii="Times New Roman" w:hAnsi="Times New Roman" w:cs="Times New Roman"/>
          <w:sz w:val="24"/>
          <w:szCs w:val="24"/>
          <w:lang w:val="en-US"/>
        </w:rPr>
        <w:t xml:space="preserve">The research used is library research and surveys. The research focus of this study is the 4C digital skills: digital communication, digital collaboration, digital creativity, and digital critical thinking. The population in this study were all students of the UNSIQ Physics Education Study Program in the 2022/2023 academic year; as many as 129 students were taken using a stratified random sampling technique. In this study, the techniques used in collecting data </w:t>
      </w:r>
      <w:r w:rsidR="00C40C7A" w:rsidRPr="00C40C7A">
        <w:rPr>
          <w:rFonts w:ascii="Times New Roman" w:hAnsi="Times New Roman" w:cs="Times New Roman"/>
          <w:sz w:val="24"/>
          <w:szCs w:val="24"/>
          <w:lang w:val="en-US"/>
        </w:rPr>
        <w:t xml:space="preserve">were </w:t>
      </w:r>
      <w:r w:rsidRPr="0014517F">
        <w:rPr>
          <w:rFonts w:ascii="Times New Roman" w:hAnsi="Times New Roman" w:cs="Times New Roman"/>
          <w:sz w:val="24"/>
          <w:szCs w:val="24"/>
          <w:lang w:val="en-US"/>
        </w:rPr>
        <w:t xml:space="preserve">literature studies and questionnaires. </w:t>
      </w:r>
      <w:r w:rsidR="00C27002" w:rsidRPr="00C27002">
        <w:rPr>
          <w:rFonts w:ascii="Times New Roman" w:hAnsi="Times New Roman" w:cs="Times New Roman"/>
          <w:sz w:val="24"/>
          <w:szCs w:val="24"/>
          <w:lang w:val="en-US"/>
        </w:rPr>
        <w:t xml:space="preserve">Literature study is a data collection technique by reading information from print or online sources such as books, scientific articles, and newspapers about 4C digital skills </w:t>
      </w:r>
      <w:r>
        <w:rPr>
          <w:rFonts w:ascii="Times New Roman" w:hAnsi="Times New Roman" w:cs="Times New Roman"/>
          <w:sz w:val="24"/>
          <w:szCs w:val="24"/>
          <w:lang w:val="sv-SE"/>
        </w:rPr>
        <w:fldChar w:fldCharType="begin" w:fldLock="1"/>
      </w:r>
      <w:r w:rsidRPr="0014517F">
        <w:rPr>
          <w:rFonts w:ascii="Times New Roman" w:hAnsi="Times New Roman" w:cs="Times New Roman"/>
          <w:sz w:val="24"/>
          <w:szCs w:val="24"/>
          <w:lang w:val="en-US"/>
        </w:rPr>
        <w:instrText>ADDIN CSL_CITATION {"citationItems":[{"id":"ITEM-1","itemData":{"DOI":"10.1007/978-3-030-92836-0_28","ISBN":"9783030928353","ISSN":"16113349","abstract":"This research reports on a case study applying synchronous computer-mediated communication (SCMC) in a Wuhan university’s English language classes during the COVID-19 pandemic. The aim was to identify the advantages and disadvantages of using synchronous technology applications in online English language courses. The dataset consisted of ethnographic observations and in-depth interviews with the teacher and students. The thematic analysis revealed that the advantages of the SCMC include the availability of abundant learning resources, the affordance of instant information exchange, and a comparatively relaxed learning environment. Two major disadvantages were that the non-face-to-face communication tended to lead to the teacher’s “one-person” show, and the limited screen size reduced eye contact between the teacher and students. The present research indicates that SCMC can be applied during and after the pandemic to foster student discussion and collaboration. We also suggest that when language teachers deliver courses using SCMC tools or platforms, students should be given abundant opportunities to express their opinions.","author":[{"dropping-particle":"","family":"Tranfield","given":"David","non-dropping-particle":"","parse-names":false,"suffix":""},{"dropping-particle":"","family":"Denyer","given":"David","non-dropping-particle":"","parse-names":false,"suffix":""},{"dropping-particle":"","family":"Smart","given":"Palminder","non-dropping-particle":"","parse-names":false,"suffix":""}],"container-title":"British Journal of Management","id":"ITEM-1","issued":{"date-parts":[["2003"]]},"page":"207–222","title":"Towards a Methodology for Developing Evidence-Informed Management Knowledge by Means of Systematic Review","type":"article-journal","volume":"14"},"uris":["http://www.mendeley.com/documents/?uuid=cc7994ea-2b4d-4f69-8aa7-e32eadd4e2b0"]}],"mendeley":{"formattedCitation":"(Tranfield et al., 2003)","plainTextFormattedCitation":"(Tranfield et al., 2003)","previouslyFormattedCitation":"(Tranfield et al., 2003)"},"properties":{"noteIndex":0},"schema":"https://github.com/citation-style-language/schema/raw/master/csl-citation.json"}</w:instrText>
      </w:r>
      <w:r>
        <w:rPr>
          <w:rFonts w:ascii="Times New Roman" w:hAnsi="Times New Roman" w:cs="Times New Roman"/>
          <w:sz w:val="24"/>
          <w:szCs w:val="24"/>
          <w:lang w:val="sv-SE"/>
        </w:rPr>
        <w:fldChar w:fldCharType="separate"/>
      </w:r>
      <w:r w:rsidRPr="0014517F">
        <w:rPr>
          <w:rFonts w:ascii="Times New Roman" w:hAnsi="Times New Roman" w:cs="Times New Roman"/>
          <w:noProof/>
          <w:sz w:val="24"/>
          <w:szCs w:val="24"/>
          <w:lang w:val="en-US"/>
        </w:rPr>
        <w:t>(Tranfield et al., 2003)</w:t>
      </w:r>
      <w:r>
        <w:rPr>
          <w:rFonts w:ascii="Times New Roman" w:hAnsi="Times New Roman" w:cs="Times New Roman"/>
          <w:sz w:val="24"/>
          <w:szCs w:val="24"/>
          <w:lang w:val="sv-SE"/>
        </w:rPr>
        <w:fldChar w:fldCharType="end"/>
      </w:r>
      <w:r w:rsidRPr="0014517F">
        <w:rPr>
          <w:rFonts w:ascii="Times New Roman" w:hAnsi="Times New Roman" w:cs="Times New Roman"/>
          <w:sz w:val="24"/>
          <w:szCs w:val="24"/>
          <w:lang w:val="en-US"/>
        </w:rPr>
        <w:t xml:space="preserve">. Questionnaires are </w:t>
      </w:r>
      <w:r w:rsidR="00C40C7A" w:rsidRPr="00C40C7A">
        <w:rPr>
          <w:rFonts w:ascii="Times New Roman" w:hAnsi="Times New Roman" w:cs="Times New Roman"/>
          <w:sz w:val="24"/>
          <w:szCs w:val="24"/>
          <w:lang w:val="en-US"/>
        </w:rPr>
        <w:t xml:space="preserve">lists </w:t>
      </w:r>
      <w:r w:rsidRPr="0014517F">
        <w:rPr>
          <w:rFonts w:ascii="Times New Roman" w:hAnsi="Times New Roman" w:cs="Times New Roman"/>
          <w:sz w:val="24"/>
          <w:szCs w:val="24"/>
          <w:lang w:val="en-US"/>
        </w:rPr>
        <w:t xml:space="preserve">of questions given to others willing to respond (respondents) according to user requests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{"citationItems":[{"id":"ITEM-1","itemData":{"DOI":"10.5005/jp-journals-10021-1104","ISSN":"03015742","abstract":"Questionnaires are frequently used in quantitative marketing research and social research. A questionnaire is a series of questions asked to individuals to obtain statistically useful information about a given topic. When properly constructed and responsibly administered, questionnaires become a vital instrument by which statements can be made about specific groups or people or entire populations. They are a valuable method of collecting a wide range of information from a large number of individuals, often referred to as respondents. Adequate questionnaire construction is critical to the success of a survey. Appropriate questions, correct ordering of questions, correct scaling, or good questionnaire format can make the survey worthwhile, as it may accurately reflect the views and opinions of the participants. A useful method for checking a questionnaire and making sure it is accurately capturing the intended information is to pretest among a smaller subset of target respondents.","author":[{"dropping-particle":"","family":"Roopa","given":"S","non-dropping-particle":"","parse-names":false,"suffix":""},{"dropping-particle":"","family":"Rani","given":"MS","non-dropping-particle":"","parse-names":false,"suffix":""}],"container-title":"The Journal of Indian Orthodontic Society","id":"ITEM-1","issue":"December","issued":{"date-parts":[["2012"]]},"page":"273-277","title":"Questionnaire Designing for a Survey","type":"article-journal","volume":"46"},"uris":["http://www.mendeley.com/documents/?uuid=59dde1ef-fde2-471a-a097-2076025b4e1a"]}],"mendeley":{"formattedCitation":"(Roopa &amp; Rani, 2012)","plainTextFormattedCitation":"(Roopa &amp; Rani, 2012)","previouslyFormattedCitation":"(Roopa &amp; Rani, 2012)"},"properties":{"noteIndex":0},"schema":"https://github.com/citation-style-language/schema/raw/master/csl-citation.json"}</w:instrText>
      </w:r>
      <w:r>
        <w:rPr>
          <w:rFonts w:ascii="Times New Roman" w:hAnsi="Times New Roman" w:cs="Times New Roman"/>
          <w:sz w:val="24"/>
          <w:szCs w:val="24"/>
        </w:rPr>
        <w:fldChar w:fldCharType="separate"/>
      </w:r>
      <w:r w:rsidRPr="00583ACF">
        <w:rPr>
          <w:rFonts w:ascii="Times New Roman" w:hAnsi="Times New Roman" w:cs="Times New Roman"/>
          <w:noProof/>
          <w:sz w:val="24"/>
          <w:szCs w:val="24"/>
        </w:rPr>
        <w:t>(Roopa &amp; Rani, 2012)</w:t>
      </w:r>
      <w:r>
        <w:rPr>
          <w:rFonts w:ascii="Times New Roman" w:hAnsi="Times New Roman" w:cs="Times New Roman"/>
          <w:sz w:val="24"/>
          <w:szCs w:val="24"/>
        </w:rPr>
        <w:fldChar w:fldCharType="end"/>
      </w:r>
      <w:r w:rsidRPr="0014517F">
        <w:rPr>
          <w:rFonts w:ascii="Times New Roman" w:hAnsi="Times New Roman" w:cs="Times New Roman"/>
          <w:sz w:val="24"/>
          <w:szCs w:val="24"/>
          <w:lang w:val="en-US"/>
        </w:rPr>
        <w:t xml:space="preserve">. The questionnaire used in this study was closed. In a closed point of view, the respondent is asked to choose an answer according to his characteristics by giving a cross or a checklist. The questionnaire is used to measure digital 4C skills. The steps for analyzing the </w:t>
      </w:r>
      <w:r w:rsidR="00C40C7A" w:rsidRPr="00C40C7A">
        <w:rPr>
          <w:rFonts w:ascii="Times New Roman" w:hAnsi="Times New Roman" w:cs="Times New Roman"/>
          <w:sz w:val="24"/>
          <w:szCs w:val="24"/>
          <w:lang w:val="en-US"/>
        </w:rPr>
        <w:t xml:space="preserve">includes: 1) </w:t>
      </w:r>
      <w:r w:rsidRPr="0014517F">
        <w:rPr>
          <w:rFonts w:ascii="Times New Roman" w:hAnsi="Times New Roman" w:cs="Times New Roman"/>
          <w:sz w:val="24"/>
          <w:szCs w:val="24"/>
          <w:lang w:val="en-US"/>
        </w:rPr>
        <w:t xml:space="preserve">checking and calculating the score on the questionnaire from each answer chosen by the student, 2) </w:t>
      </w:r>
      <w:r w:rsidR="00C40C7A">
        <w:rPr>
          <w:rFonts w:ascii="Times New Roman" w:hAnsi="Times New Roman" w:cs="Times New Roman"/>
          <w:sz w:val="24"/>
          <w:szCs w:val="24"/>
          <w:lang w:val="en-US"/>
        </w:rPr>
        <w:t>r</w:t>
      </w:r>
      <w:r w:rsidRPr="0014517F">
        <w:rPr>
          <w:rFonts w:ascii="Times New Roman" w:hAnsi="Times New Roman" w:cs="Times New Roman"/>
          <w:sz w:val="24"/>
          <w:szCs w:val="24"/>
          <w:lang w:val="en-US"/>
        </w:rPr>
        <w:t xml:space="preserve">ecapitulating the scores obtained by each student, 3) </w:t>
      </w:r>
      <w:r w:rsidR="00C40C7A">
        <w:rPr>
          <w:rFonts w:ascii="Times New Roman" w:hAnsi="Times New Roman" w:cs="Times New Roman"/>
          <w:sz w:val="24"/>
          <w:szCs w:val="24"/>
          <w:lang w:val="en-US"/>
        </w:rPr>
        <w:t>c</w:t>
      </w:r>
      <w:r w:rsidRPr="0014517F">
        <w:rPr>
          <w:rFonts w:ascii="Times New Roman" w:hAnsi="Times New Roman" w:cs="Times New Roman"/>
          <w:sz w:val="24"/>
          <w:szCs w:val="24"/>
          <w:lang w:val="en-US"/>
        </w:rPr>
        <w:t xml:space="preserve">alculating the proportion of scores for each item, 4) </w:t>
      </w:r>
      <w:r w:rsidR="00C40C7A">
        <w:rPr>
          <w:rFonts w:ascii="Times New Roman" w:hAnsi="Times New Roman" w:cs="Times New Roman"/>
          <w:sz w:val="24"/>
          <w:szCs w:val="24"/>
          <w:lang w:val="en-US"/>
        </w:rPr>
        <w:t>d</w:t>
      </w:r>
      <w:r w:rsidRPr="0014517F">
        <w:rPr>
          <w:rFonts w:ascii="Times New Roman" w:hAnsi="Times New Roman" w:cs="Times New Roman"/>
          <w:sz w:val="24"/>
          <w:szCs w:val="24"/>
          <w:lang w:val="en-US"/>
        </w:rPr>
        <w:t xml:space="preserve">etermining the criteria for interpreting the scores shown from the questionnaire, 5) </w:t>
      </w:r>
      <w:r w:rsidR="00C40C7A">
        <w:rPr>
          <w:rFonts w:ascii="Times New Roman" w:hAnsi="Times New Roman" w:cs="Times New Roman"/>
          <w:sz w:val="24"/>
          <w:szCs w:val="24"/>
          <w:lang w:val="en-US"/>
        </w:rPr>
        <w:t>i</w:t>
      </w:r>
      <w:r w:rsidRPr="0014517F">
        <w:rPr>
          <w:rFonts w:ascii="Times New Roman" w:hAnsi="Times New Roman" w:cs="Times New Roman"/>
          <w:sz w:val="24"/>
          <w:szCs w:val="24"/>
          <w:lang w:val="en-US"/>
        </w:rPr>
        <w:t>nterpretation according to the interpretation of the scores presented in table 1 below.</w:t>
      </w:r>
    </w:p>
    <w:p w14:paraId="523AA685" w14:textId="31EFDDDC" w:rsidR="00451C94" w:rsidRPr="00EA7DF8" w:rsidRDefault="00451C94" w:rsidP="00451C94">
      <w:pPr>
        <w:spacing w:after="0" w:line="276" w:lineRule="auto"/>
        <w:jc w:val="center"/>
        <w:rPr>
          <w:rFonts w:ascii="Times New Roman" w:hAnsi="Times New Roman" w:cs="Times New Roman"/>
          <w:sz w:val="24"/>
          <w:szCs w:val="24"/>
          <w:lang w:val="sv-SE"/>
        </w:rPr>
      </w:pPr>
      <w:r w:rsidRPr="00451C94">
        <w:rPr>
          <w:rFonts w:ascii="Times New Roman" w:hAnsi="Times New Roman" w:cs="Times New Roman"/>
          <w:sz w:val="24"/>
          <w:szCs w:val="24"/>
        </w:rPr>
        <w:t xml:space="preserve">Table 1. </w:t>
      </w:r>
      <w:r w:rsidR="0014517F" w:rsidRPr="0014517F">
        <w:rPr>
          <w:rFonts w:ascii="Times New Roman" w:hAnsi="Times New Roman" w:cs="Times New Roman"/>
          <w:sz w:val="24"/>
          <w:szCs w:val="24"/>
          <w:lang w:val="sv-SE"/>
        </w:rPr>
        <w:t xml:space="preserve">4C digital skill categories </w:t>
      </w:r>
      <w:r w:rsidR="00EA7DF8">
        <w:rPr>
          <w:rFonts w:ascii="Times New Roman" w:hAnsi="Times New Roman" w:cs="Times New Roman"/>
          <w:sz w:val="24"/>
          <w:szCs w:val="24"/>
          <w:lang w:val="sv-SE"/>
        </w:rPr>
        <w:fldChar w:fldCharType="begin" w:fldLock="1"/>
      </w:r>
      <w:r w:rsidR="00AD7A0F">
        <w:rPr>
          <w:rFonts w:ascii="Times New Roman" w:hAnsi="Times New Roman" w:cs="Times New Roman"/>
          <w:sz w:val="24"/>
          <w:szCs w:val="24"/>
          <w:lang w:val="sv-SE"/>
        </w:rPr>
        <w:instrText>ADDIN CSL_CITATION {"citationItems":[{"id":"ITEM-1","itemData":{"author":[{"dropping-particle":"","family":"Arikunto","given":"Suharsimi","non-dropping-particle":"","parse-names":false,"suffix":""}],"id":"ITEM-1","issued":{"date-parts":[["2016"]]},"publisher":"Rineka Cipta","publisher-place":"Jakarta","title":"Prosedur Penelitian: Suatu Pendekatan Praktik","type":"book"},"uris":["http://www.mendeley.com/documents/?uuid=9d12f587-c91a-4ca0-8cf3-0202c74ed1ef"]}],"mendeley":{"formattedCitation":"(Arikunto, 2016)","plainTextFormattedCitation":"(Arikunto, 2016)","previouslyFormattedCitation":"(Arikunto, 2016)"},"properties":{"noteIndex":0},"schema":"https://github.com/citation-style-language/schema/raw/master/csl-citation.json"}</w:instrText>
      </w:r>
      <w:r w:rsidR="00EA7DF8">
        <w:rPr>
          <w:rFonts w:ascii="Times New Roman" w:hAnsi="Times New Roman" w:cs="Times New Roman"/>
          <w:sz w:val="24"/>
          <w:szCs w:val="24"/>
          <w:lang w:val="sv-SE"/>
        </w:rPr>
        <w:fldChar w:fldCharType="separate"/>
      </w:r>
      <w:r w:rsidR="00EA7DF8" w:rsidRPr="00EA7DF8">
        <w:rPr>
          <w:rFonts w:ascii="Times New Roman" w:hAnsi="Times New Roman" w:cs="Times New Roman"/>
          <w:noProof/>
          <w:sz w:val="24"/>
          <w:szCs w:val="24"/>
          <w:lang w:val="sv-SE"/>
        </w:rPr>
        <w:t>(Arikunto, 2016)</w:t>
      </w:r>
      <w:r w:rsidR="00EA7DF8">
        <w:rPr>
          <w:rFonts w:ascii="Times New Roman" w:hAnsi="Times New Roman" w:cs="Times New Roman"/>
          <w:sz w:val="24"/>
          <w:szCs w:val="24"/>
          <w:lang w:val="sv-SE"/>
        </w:rPr>
        <w:fldChar w:fldCharType="end"/>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627"/>
        <w:gridCol w:w="2199"/>
      </w:tblGrid>
      <w:tr w:rsidR="00451C94" w:rsidRPr="00451C94" w14:paraId="2228672D" w14:textId="77777777" w:rsidTr="00D73473">
        <w:trPr>
          <w:jc w:val="center"/>
        </w:trPr>
        <w:tc>
          <w:tcPr>
            <w:tcW w:w="818" w:type="pct"/>
            <w:tcBorders>
              <w:top w:val="single" w:sz="4" w:space="0" w:color="auto"/>
              <w:bottom w:val="single" w:sz="4" w:space="0" w:color="auto"/>
            </w:tcBorders>
          </w:tcPr>
          <w:p w14:paraId="2F1320CC" w14:textId="31A89A77" w:rsidR="00451C94" w:rsidRPr="00D73473" w:rsidRDefault="00D73473" w:rsidP="00D73473">
            <w:pPr>
              <w:spacing w:line="276" w:lineRule="auto"/>
              <w:ind w:right="435"/>
              <w:jc w:val="center"/>
              <w:rPr>
                <w:sz w:val="24"/>
                <w:szCs w:val="24"/>
                <w:lang w:val="en-US"/>
              </w:rPr>
            </w:pPr>
            <w:r>
              <w:rPr>
                <w:sz w:val="24"/>
                <w:szCs w:val="24"/>
                <w:lang w:val="en-US"/>
              </w:rPr>
              <w:t>No</w:t>
            </w:r>
          </w:p>
        </w:tc>
        <w:tc>
          <w:tcPr>
            <w:tcW w:w="3007" w:type="pct"/>
            <w:tcBorders>
              <w:top w:val="single" w:sz="4" w:space="0" w:color="auto"/>
              <w:bottom w:val="single" w:sz="4" w:space="0" w:color="auto"/>
            </w:tcBorders>
          </w:tcPr>
          <w:p w14:paraId="0BDDFBD8" w14:textId="569C6B65" w:rsidR="00451C94" w:rsidRPr="002A7091" w:rsidRDefault="002A7091" w:rsidP="00451C94">
            <w:pPr>
              <w:spacing w:line="276" w:lineRule="auto"/>
              <w:jc w:val="center"/>
              <w:rPr>
                <w:sz w:val="24"/>
                <w:szCs w:val="24"/>
                <w:lang w:val="en-US"/>
              </w:rPr>
            </w:pPr>
            <w:r>
              <w:rPr>
                <w:sz w:val="24"/>
                <w:szCs w:val="24"/>
                <w:lang w:val="en-US"/>
              </w:rPr>
              <w:t>Percentage</w:t>
            </w:r>
          </w:p>
        </w:tc>
        <w:tc>
          <w:tcPr>
            <w:tcW w:w="1175" w:type="pct"/>
            <w:tcBorders>
              <w:top w:val="single" w:sz="4" w:space="0" w:color="auto"/>
              <w:bottom w:val="single" w:sz="4" w:space="0" w:color="auto"/>
            </w:tcBorders>
          </w:tcPr>
          <w:p w14:paraId="5E1336C1" w14:textId="39B16B17" w:rsidR="00451C94" w:rsidRPr="00D73473" w:rsidRDefault="00D73473" w:rsidP="00451C94">
            <w:pPr>
              <w:spacing w:line="276" w:lineRule="auto"/>
              <w:jc w:val="center"/>
              <w:rPr>
                <w:sz w:val="24"/>
                <w:szCs w:val="24"/>
                <w:lang w:val="en-US"/>
              </w:rPr>
            </w:pPr>
            <w:r>
              <w:rPr>
                <w:sz w:val="24"/>
                <w:szCs w:val="24"/>
                <w:lang w:val="en-US"/>
              </w:rPr>
              <w:t>Category</w:t>
            </w:r>
          </w:p>
        </w:tc>
      </w:tr>
      <w:tr w:rsidR="00451C94" w:rsidRPr="00451C94" w14:paraId="390958C6" w14:textId="77777777" w:rsidTr="00D73473">
        <w:trPr>
          <w:jc w:val="center"/>
        </w:trPr>
        <w:tc>
          <w:tcPr>
            <w:tcW w:w="818" w:type="pct"/>
            <w:tcBorders>
              <w:top w:val="single" w:sz="4" w:space="0" w:color="auto"/>
            </w:tcBorders>
          </w:tcPr>
          <w:p w14:paraId="030AF3C1" w14:textId="77330503" w:rsidR="00451C94" w:rsidRPr="00D73473" w:rsidRDefault="00D73473" w:rsidP="00D73473">
            <w:pPr>
              <w:spacing w:line="276" w:lineRule="auto"/>
              <w:ind w:right="435"/>
              <w:jc w:val="center"/>
              <w:rPr>
                <w:sz w:val="24"/>
                <w:szCs w:val="24"/>
                <w:lang w:val="en-US"/>
              </w:rPr>
            </w:pPr>
            <w:r>
              <w:rPr>
                <w:sz w:val="24"/>
                <w:szCs w:val="24"/>
                <w:lang w:val="en-US"/>
              </w:rPr>
              <w:t>1</w:t>
            </w:r>
          </w:p>
        </w:tc>
        <w:tc>
          <w:tcPr>
            <w:tcW w:w="3007" w:type="pct"/>
            <w:tcBorders>
              <w:top w:val="single" w:sz="4" w:space="0" w:color="auto"/>
            </w:tcBorders>
          </w:tcPr>
          <w:p w14:paraId="5635F4C0" w14:textId="16759E88" w:rsidR="00451C94" w:rsidRPr="00D73473" w:rsidRDefault="00D73473" w:rsidP="00D73473">
            <w:pPr>
              <w:spacing w:line="276" w:lineRule="auto"/>
              <w:jc w:val="center"/>
              <w:rPr>
                <w:sz w:val="24"/>
                <w:szCs w:val="24"/>
                <w:lang w:val="en-US"/>
              </w:rPr>
            </w:pPr>
            <w:r>
              <w:rPr>
                <w:sz w:val="24"/>
                <w:szCs w:val="24"/>
                <w:lang w:val="en-US"/>
              </w:rPr>
              <w:t>8</w:t>
            </w:r>
            <w:r w:rsidR="00EA7DF8">
              <w:rPr>
                <w:sz w:val="24"/>
                <w:szCs w:val="24"/>
                <w:lang w:val="en-US"/>
              </w:rPr>
              <w:t>0</w:t>
            </w:r>
            <w:r>
              <w:rPr>
                <w:sz w:val="24"/>
                <w:szCs w:val="24"/>
                <w:lang w:val="en-US"/>
              </w:rPr>
              <w:t xml:space="preserve"> – 100</w:t>
            </w:r>
          </w:p>
        </w:tc>
        <w:tc>
          <w:tcPr>
            <w:tcW w:w="1175" w:type="pct"/>
            <w:tcBorders>
              <w:top w:val="single" w:sz="4" w:space="0" w:color="auto"/>
            </w:tcBorders>
          </w:tcPr>
          <w:p w14:paraId="6EFB4816" w14:textId="67E3EED9" w:rsidR="00451C94" w:rsidRPr="00D73473" w:rsidRDefault="00D73473" w:rsidP="00451C94">
            <w:pPr>
              <w:spacing w:line="276" w:lineRule="auto"/>
              <w:jc w:val="center"/>
              <w:rPr>
                <w:sz w:val="24"/>
                <w:szCs w:val="24"/>
                <w:lang w:val="en-US"/>
              </w:rPr>
            </w:pPr>
            <w:r>
              <w:rPr>
                <w:sz w:val="24"/>
                <w:szCs w:val="24"/>
                <w:lang w:val="en-US"/>
              </w:rPr>
              <w:t>Very High</w:t>
            </w:r>
          </w:p>
        </w:tc>
      </w:tr>
      <w:tr w:rsidR="00451C94" w:rsidRPr="00451C94" w14:paraId="5764B0AB" w14:textId="77777777" w:rsidTr="00D73473">
        <w:trPr>
          <w:jc w:val="center"/>
        </w:trPr>
        <w:tc>
          <w:tcPr>
            <w:tcW w:w="818" w:type="pct"/>
          </w:tcPr>
          <w:p w14:paraId="369F633F" w14:textId="7B5449D5" w:rsidR="00451C94" w:rsidRPr="00D73473" w:rsidRDefault="00D73473" w:rsidP="00D73473">
            <w:pPr>
              <w:spacing w:line="276" w:lineRule="auto"/>
              <w:ind w:right="435"/>
              <w:jc w:val="center"/>
              <w:rPr>
                <w:sz w:val="24"/>
                <w:szCs w:val="24"/>
                <w:lang w:val="en-US"/>
              </w:rPr>
            </w:pPr>
            <w:r>
              <w:rPr>
                <w:sz w:val="24"/>
                <w:szCs w:val="24"/>
                <w:lang w:val="en-US"/>
              </w:rPr>
              <w:t>2</w:t>
            </w:r>
          </w:p>
        </w:tc>
        <w:tc>
          <w:tcPr>
            <w:tcW w:w="3007" w:type="pct"/>
          </w:tcPr>
          <w:p w14:paraId="1BAF2E06" w14:textId="4D9F084A" w:rsidR="00451C94" w:rsidRPr="00D73473" w:rsidRDefault="00EA7DF8" w:rsidP="00D73473">
            <w:pPr>
              <w:spacing w:line="276" w:lineRule="auto"/>
              <w:jc w:val="center"/>
              <w:rPr>
                <w:sz w:val="24"/>
                <w:szCs w:val="24"/>
                <w:lang w:val="en-US"/>
              </w:rPr>
            </w:pPr>
            <w:r>
              <w:rPr>
                <w:sz w:val="24"/>
                <w:szCs w:val="24"/>
                <w:lang w:val="en-US"/>
              </w:rPr>
              <w:t>70</w:t>
            </w:r>
            <w:r w:rsidR="00D73473">
              <w:rPr>
                <w:sz w:val="24"/>
                <w:szCs w:val="24"/>
                <w:lang w:val="en-US"/>
              </w:rPr>
              <w:t xml:space="preserve"> – </w:t>
            </w:r>
            <w:r>
              <w:rPr>
                <w:sz w:val="24"/>
                <w:szCs w:val="24"/>
                <w:lang w:val="en-US"/>
              </w:rPr>
              <w:t>79</w:t>
            </w:r>
          </w:p>
        </w:tc>
        <w:tc>
          <w:tcPr>
            <w:tcW w:w="1175" w:type="pct"/>
          </w:tcPr>
          <w:p w14:paraId="2A855042" w14:textId="2AD3755F" w:rsidR="00451C94" w:rsidRPr="00D73473" w:rsidRDefault="00D73473" w:rsidP="00451C94">
            <w:pPr>
              <w:spacing w:line="276" w:lineRule="auto"/>
              <w:jc w:val="center"/>
              <w:rPr>
                <w:sz w:val="24"/>
                <w:szCs w:val="24"/>
                <w:lang w:val="en-US"/>
              </w:rPr>
            </w:pPr>
            <w:r>
              <w:rPr>
                <w:sz w:val="24"/>
                <w:szCs w:val="24"/>
                <w:lang w:val="en-US"/>
              </w:rPr>
              <w:t>High</w:t>
            </w:r>
          </w:p>
        </w:tc>
      </w:tr>
      <w:tr w:rsidR="00451C94" w:rsidRPr="00451C94" w14:paraId="30A82ADD" w14:textId="77777777" w:rsidTr="00D73473">
        <w:trPr>
          <w:jc w:val="center"/>
        </w:trPr>
        <w:tc>
          <w:tcPr>
            <w:tcW w:w="818" w:type="pct"/>
          </w:tcPr>
          <w:p w14:paraId="4CDA6EE8" w14:textId="6BA1796C" w:rsidR="00451C94" w:rsidRPr="00D73473" w:rsidRDefault="00D73473" w:rsidP="00D73473">
            <w:pPr>
              <w:spacing w:line="276" w:lineRule="auto"/>
              <w:ind w:right="435"/>
              <w:jc w:val="center"/>
              <w:rPr>
                <w:sz w:val="24"/>
                <w:szCs w:val="24"/>
                <w:lang w:val="en-US"/>
              </w:rPr>
            </w:pPr>
            <w:r>
              <w:rPr>
                <w:sz w:val="24"/>
                <w:szCs w:val="24"/>
                <w:lang w:val="en-US"/>
              </w:rPr>
              <w:t>3</w:t>
            </w:r>
          </w:p>
        </w:tc>
        <w:tc>
          <w:tcPr>
            <w:tcW w:w="3007" w:type="pct"/>
          </w:tcPr>
          <w:p w14:paraId="72DD8B80" w14:textId="12B79763" w:rsidR="00451C94" w:rsidRPr="00D73473" w:rsidRDefault="00EA7DF8" w:rsidP="00D73473">
            <w:pPr>
              <w:spacing w:line="276" w:lineRule="auto"/>
              <w:jc w:val="center"/>
              <w:rPr>
                <w:sz w:val="24"/>
                <w:szCs w:val="24"/>
                <w:lang w:val="en-US"/>
              </w:rPr>
            </w:pPr>
            <w:r>
              <w:rPr>
                <w:sz w:val="24"/>
                <w:szCs w:val="24"/>
                <w:lang w:val="en-US"/>
              </w:rPr>
              <w:t>60</w:t>
            </w:r>
            <w:r w:rsidR="00D73473">
              <w:rPr>
                <w:sz w:val="24"/>
                <w:szCs w:val="24"/>
                <w:lang w:val="en-US"/>
              </w:rPr>
              <w:t xml:space="preserve"> – 6</w:t>
            </w:r>
            <w:r>
              <w:rPr>
                <w:sz w:val="24"/>
                <w:szCs w:val="24"/>
                <w:lang w:val="en-US"/>
              </w:rPr>
              <w:t>9</w:t>
            </w:r>
          </w:p>
        </w:tc>
        <w:tc>
          <w:tcPr>
            <w:tcW w:w="1175" w:type="pct"/>
          </w:tcPr>
          <w:p w14:paraId="383DA9CF" w14:textId="52CB5954" w:rsidR="00451C94" w:rsidRPr="00D73473" w:rsidRDefault="00D73473" w:rsidP="00451C94">
            <w:pPr>
              <w:spacing w:line="276" w:lineRule="auto"/>
              <w:jc w:val="center"/>
              <w:rPr>
                <w:sz w:val="24"/>
                <w:szCs w:val="24"/>
                <w:lang w:val="en-US"/>
              </w:rPr>
            </w:pPr>
            <w:r>
              <w:rPr>
                <w:sz w:val="24"/>
                <w:szCs w:val="24"/>
                <w:lang w:val="en-US"/>
              </w:rPr>
              <w:t>Medium</w:t>
            </w:r>
          </w:p>
        </w:tc>
      </w:tr>
      <w:tr w:rsidR="00D73473" w:rsidRPr="00451C94" w14:paraId="503934E1" w14:textId="77777777" w:rsidTr="00D73473">
        <w:trPr>
          <w:jc w:val="center"/>
        </w:trPr>
        <w:tc>
          <w:tcPr>
            <w:tcW w:w="818" w:type="pct"/>
          </w:tcPr>
          <w:p w14:paraId="3E8130C2" w14:textId="2CBC069E" w:rsidR="00D73473" w:rsidRPr="00D73473" w:rsidRDefault="00D73473" w:rsidP="00D73473">
            <w:pPr>
              <w:spacing w:line="276" w:lineRule="auto"/>
              <w:ind w:right="435"/>
              <w:jc w:val="center"/>
              <w:rPr>
                <w:sz w:val="24"/>
                <w:szCs w:val="24"/>
                <w:lang w:val="en-US"/>
              </w:rPr>
            </w:pPr>
            <w:r>
              <w:rPr>
                <w:sz w:val="24"/>
                <w:szCs w:val="24"/>
                <w:lang w:val="en-US"/>
              </w:rPr>
              <w:t>4</w:t>
            </w:r>
          </w:p>
        </w:tc>
        <w:tc>
          <w:tcPr>
            <w:tcW w:w="3007" w:type="pct"/>
          </w:tcPr>
          <w:p w14:paraId="7D385F76" w14:textId="0B6C9870" w:rsidR="00D73473" w:rsidRPr="00D73473" w:rsidRDefault="00EA7DF8" w:rsidP="00D73473">
            <w:pPr>
              <w:spacing w:line="276" w:lineRule="auto"/>
              <w:jc w:val="center"/>
              <w:rPr>
                <w:sz w:val="24"/>
                <w:szCs w:val="24"/>
                <w:lang w:val="en-US"/>
              </w:rPr>
            </w:pPr>
            <w:r>
              <w:rPr>
                <w:sz w:val="24"/>
                <w:szCs w:val="24"/>
                <w:lang w:val="en-US"/>
              </w:rPr>
              <w:t>50</w:t>
            </w:r>
            <w:r w:rsidR="00D73473">
              <w:rPr>
                <w:sz w:val="24"/>
                <w:szCs w:val="24"/>
                <w:lang w:val="en-US"/>
              </w:rPr>
              <w:t xml:space="preserve"> – </w:t>
            </w:r>
            <w:r>
              <w:rPr>
                <w:sz w:val="24"/>
                <w:szCs w:val="24"/>
                <w:lang w:val="en-US"/>
              </w:rPr>
              <w:t>59</w:t>
            </w:r>
          </w:p>
        </w:tc>
        <w:tc>
          <w:tcPr>
            <w:tcW w:w="1175" w:type="pct"/>
          </w:tcPr>
          <w:p w14:paraId="76B31BAA" w14:textId="5AAD3023" w:rsidR="00D73473" w:rsidRPr="00D73473" w:rsidRDefault="00D73473" w:rsidP="00D73473">
            <w:pPr>
              <w:spacing w:line="276" w:lineRule="auto"/>
              <w:jc w:val="center"/>
              <w:rPr>
                <w:sz w:val="24"/>
                <w:szCs w:val="24"/>
                <w:lang w:val="en-US"/>
              </w:rPr>
            </w:pPr>
            <w:r>
              <w:rPr>
                <w:sz w:val="24"/>
                <w:szCs w:val="24"/>
                <w:lang w:val="en-US"/>
              </w:rPr>
              <w:t>Low</w:t>
            </w:r>
          </w:p>
        </w:tc>
      </w:tr>
      <w:tr w:rsidR="00D73473" w:rsidRPr="00451C94" w14:paraId="0553A35B" w14:textId="77777777" w:rsidTr="00D73473">
        <w:trPr>
          <w:jc w:val="center"/>
        </w:trPr>
        <w:tc>
          <w:tcPr>
            <w:tcW w:w="818" w:type="pct"/>
          </w:tcPr>
          <w:p w14:paraId="53D4997A" w14:textId="74AE983F" w:rsidR="00D73473" w:rsidRDefault="00D73473" w:rsidP="00D73473">
            <w:pPr>
              <w:spacing w:line="276" w:lineRule="auto"/>
              <w:ind w:right="435"/>
              <w:jc w:val="center"/>
              <w:rPr>
                <w:sz w:val="24"/>
                <w:szCs w:val="24"/>
                <w:lang w:val="en-US"/>
              </w:rPr>
            </w:pPr>
            <w:r>
              <w:rPr>
                <w:sz w:val="24"/>
                <w:szCs w:val="24"/>
                <w:lang w:val="en-US"/>
              </w:rPr>
              <w:t>5</w:t>
            </w:r>
          </w:p>
        </w:tc>
        <w:tc>
          <w:tcPr>
            <w:tcW w:w="3007" w:type="pct"/>
          </w:tcPr>
          <w:p w14:paraId="1E10C34D" w14:textId="340BEF43" w:rsidR="00D73473" w:rsidRPr="00D73473" w:rsidRDefault="00D73473" w:rsidP="00D73473">
            <w:pPr>
              <w:spacing w:line="276" w:lineRule="auto"/>
              <w:jc w:val="center"/>
              <w:rPr>
                <w:sz w:val="24"/>
                <w:szCs w:val="24"/>
                <w:lang w:val="en-US"/>
              </w:rPr>
            </w:pPr>
            <w:r>
              <w:rPr>
                <w:sz w:val="24"/>
                <w:szCs w:val="24"/>
                <w:lang w:val="en-US"/>
              </w:rPr>
              <w:t xml:space="preserve">0 – </w:t>
            </w:r>
            <w:r w:rsidR="00EA7DF8">
              <w:rPr>
                <w:sz w:val="24"/>
                <w:szCs w:val="24"/>
                <w:lang w:val="en-US"/>
              </w:rPr>
              <w:t>49</w:t>
            </w:r>
          </w:p>
        </w:tc>
        <w:tc>
          <w:tcPr>
            <w:tcW w:w="1175" w:type="pct"/>
          </w:tcPr>
          <w:p w14:paraId="04211C9F" w14:textId="411C96A4" w:rsidR="00D73473" w:rsidRDefault="00D73473" w:rsidP="00D73473">
            <w:pPr>
              <w:spacing w:line="276" w:lineRule="auto"/>
              <w:jc w:val="center"/>
              <w:rPr>
                <w:sz w:val="24"/>
                <w:szCs w:val="24"/>
                <w:lang w:val="en-US"/>
              </w:rPr>
            </w:pPr>
            <w:r>
              <w:rPr>
                <w:sz w:val="24"/>
                <w:szCs w:val="24"/>
                <w:lang w:val="en-US"/>
              </w:rPr>
              <w:t>Very Low</w:t>
            </w:r>
          </w:p>
        </w:tc>
      </w:tr>
    </w:tbl>
    <w:p w14:paraId="7CBFF530" w14:textId="77777777" w:rsidR="00451C94" w:rsidRDefault="00451C94" w:rsidP="002A7091">
      <w:pPr>
        <w:spacing w:after="0" w:line="276" w:lineRule="auto"/>
        <w:ind w:firstLine="720"/>
        <w:jc w:val="both"/>
        <w:rPr>
          <w:rFonts w:ascii="Times New Roman" w:hAnsi="Times New Roman" w:cs="Times New Roman"/>
          <w:sz w:val="24"/>
          <w:szCs w:val="24"/>
        </w:rPr>
      </w:pPr>
    </w:p>
    <w:p w14:paraId="3D9A674F" w14:textId="736379F3" w:rsidR="002A7091" w:rsidRPr="0014517F" w:rsidRDefault="0014517F" w:rsidP="0014517F">
      <w:pPr>
        <w:spacing w:after="0" w:line="276" w:lineRule="auto"/>
        <w:jc w:val="both"/>
        <w:rPr>
          <w:rFonts w:ascii="Times New Roman" w:hAnsi="Times New Roman" w:cs="Times New Roman"/>
          <w:sz w:val="24"/>
          <w:szCs w:val="24"/>
          <w:lang w:val="en-US"/>
        </w:rPr>
      </w:pPr>
      <w:r w:rsidRPr="0014517F">
        <w:rPr>
          <w:rFonts w:ascii="Times New Roman" w:hAnsi="Times New Roman" w:cs="Times New Roman"/>
          <w:sz w:val="24"/>
          <w:szCs w:val="24"/>
          <w:lang w:val="en-US"/>
        </w:rPr>
        <w:t>Calculation of the percentage of students' 4C digital skills is formulated as follows:</w:t>
      </w:r>
    </w:p>
    <w:p w14:paraId="4388D8BF" w14:textId="1BE3C1F1" w:rsidR="002A7091" w:rsidRPr="002A7091" w:rsidRDefault="002A7091" w:rsidP="002A7091">
      <w:pPr>
        <w:tabs>
          <w:tab w:val="center" w:pos="4680"/>
          <w:tab w:val="right" w:pos="9354"/>
        </w:tabs>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rPr>
        <w:tab/>
      </w:r>
      <w:r w:rsidRPr="002A7091">
        <w:rPr>
          <w:rFonts w:ascii="Times New Roman" w:hAnsi="Times New Roman" w:cs="Times New Roman"/>
          <w:position w:val="-24"/>
          <w:sz w:val="24"/>
          <w:szCs w:val="24"/>
        </w:rPr>
        <w:object w:dxaOrig="5360" w:dyaOrig="620" w14:anchorId="0C7FD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31.5pt" o:ole="">
            <v:imagedata r:id="rId10" o:title=""/>
          </v:shape>
          <o:OLEObject Type="Embed" ProgID="Equation.DSMT4" ShapeID="_x0000_i1025" DrawAspect="Content" ObjectID="_1744395720" r:id="rId11"/>
        </w:object>
      </w:r>
      <w:r>
        <w:rPr>
          <w:rFonts w:ascii="Times New Roman" w:hAnsi="Times New Roman" w:cs="Times New Roman"/>
          <w:sz w:val="24"/>
          <w:szCs w:val="24"/>
        </w:rPr>
        <w:tab/>
      </w:r>
      <w:r w:rsidRPr="002A7091">
        <w:rPr>
          <w:rFonts w:ascii="Times New Roman" w:hAnsi="Times New Roman" w:cs="Times New Roman"/>
          <w:sz w:val="24"/>
          <w:szCs w:val="24"/>
          <w:lang w:val="en-US"/>
        </w:rPr>
        <w:t>(1)</w:t>
      </w:r>
    </w:p>
    <w:p w14:paraId="461925EB" w14:textId="77777777" w:rsidR="00D73473" w:rsidRPr="00451C94" w:rsidRDefault="00D73473" w:rsidP="00451C94">
      <w:pPr>
        <w:spacing w:after="0" w:line="276" w:lineRule="auto"/>
        <w:jc w:val="center"/>
        <w:rPr>
          <w:rFonts w:ascii="Times New Roman" w:hAnsi="Times New Roman" w:cs="Times New Roman"/>
          <w:sz w:val="24"/>
          <w:szCs w:val="24"/>
        </w:rPr>
      </w:pPr>
    </w:p>
    <w:p w14:paraId="6B2E21C7" w14:textId="3B7C0CDB" w:rsidR="00451C94" w:rsidRDefault="00451C94" w:rsidP="00451C94">
      <w:pPr>
        <w:numPr>
          <w:ilvl w:val="0"/>
          <w:numId w:val="1"/>
        </w:numPr>
        <w:tabs>
          <w:tab w:val="left" w:pos="426"/>
        </w:tabs>
        <w:spacing w:after="0" w:line="276" w:lineRule="auto"/>
        <w:ind w:left="426" w:hanging="426"/>
        <w:rPr>
          <w:rFonts w:ascii="Times New Roman" w:hAnsi="Times New Roman" w:cs="Times New Roman"/>
          <w:b/>
          <w:bCs/>
          <w:sz w:val="24"/>
          <w:szCs w:val="24"/>
        </w:rPr>
      </w:pPr>
      <w:r w:rsidRPr="00451C94">
        <w:rPr>
          <w:rFonts w:ascii="Times New Roman" w:hAnsi="Times New Roman" w:cs="Times New Roman"/>
          <w:b/>
          <w:bCs/>
          <w:sz w:val="24"/>
          <w:szCs w:val="24"/>
        </w:rPr>
        <w:t>RESULTS AND DISCUSSION</w:t>
      </w:r>
    </w:p>
    <w:p w14:paraId="63D2CC7F" w14:textId="77777777" w:rsidR="00451C94" w:rsidRPr="00451C94" w:rsidRDefault="00451C94" w:rsidP="00451C94">
      <w:pPr>
        <w:tabs>
          <w:tab w:val="left" w:pos="426"/>
        </w:tabs>
        <w:spacing w:after="0" w:line="276" w:lineRule="auto"/>
        <w:ind w:left="426"/>
        <w:rPr>
          <w:rFonts w:ascii="Times New Roman" w:hAnsi="Times New Roman" w:cs="Times New Roman"/>
          <w:b/>
          <w:bCs/>
          <w:sz w:val="24"/>
          <w:szCs w:val="24"/>
        </w:rPr>
      </w:pPr>
    </w:p>
    <w:p w14:paraId="4770BD12" w14:textId="15B04CA6" w:rsidR="007762FE" w:rsidRPr="007762FE" w:rsidRDefault="007762FE" w:rsidP="007762FE">
      <w:pPr>
        <w:spacing w:after="0" w:line="276" w:lineRule="auto"/>
        <w:rPr>
          <w:rFonts w:ascii="Times New Roman" w:hAnsi="Times New Roman" w:cs="Times New Roman"/>
          <w:b/>
          <w:bCs/>
          <w:sz w:val="24"/>
          <w:szCs w:val="24"/>
          <w:lang w:val="en-US"/>
        </w:rPr>
      </w:pPr>
      <w:r w:rsidRPr="00451C94">
        <w:rPr>
          <w:rFonts w:ascii="Times New Roman" w:hAnsi="Times New Roman" w:cs="Times New Roman"/>
          <w:b/>
          <w:bCs/>
          <w:sz w:val="24"/>
          <w:szCs w:val="24"/>
        </w:rPr>
        <w:t xml:space="preserve">3.1.  </w:t>
      </w:r>
      <w:r w:rsidR="0014517F" w:rsidRPr="0014517F">
        <w:rPr>
          <w:rFonts w:ascii="Times New Roman" w:hAnsi="Times New Roman" w:cs="Times New Roman"/>
          <w:b/>
          <w:bCs/>
          <w:sz w:val="24"/>
          <w:szCs w:val="24"/>
          <w:lang w:val="en-US"/>
        </w:rPr>
        <w:t>4C Digital Skills</w:t>
      </w:r>
    </w:p>
    <w:p w14:paraId="797BAC64" w14:textId="5A570F24" w:rsidR="00FE6271" w:rsidRDefault="00FE6271" w:rsidP="00451C94">
      <w:pPr>
        <w:spacing w:after="0" w:line="276" w:lineRule="auto"/>
        <w:ind w:firstLine="720"/>
        <w:jc w:val="both"/>
        <w:rPr>
          <w:rFonts w:ascii="Times New Roman" w:hAnsi="Times New Roman" w:cs="Times New Roman"/>
          <w:sz w:val="24"/>
          <w:szCs w:val="24"/>
          <w:lang w:val="en-US"/>
        </w:rPr>
      </w:pPr>
      <w:r w:rsidRPr="00FE6271">
        <w:rPr>
          <w:rFonts w:ascii="Times New Roman" w:hAnsi="Times New Roman" w:cs="Times New Roman"/>
          <w:sz w:val="24"/>
          <w:szCs w:val="24"/>
          <w:lang w:val="en-US"/>
        </w:rPr>
        <w:t xml:space="preserve">Various institutions such as The Partnership for 21st Century Skills, Assessment and Teaching of 21st Century Skills (ATC21S), and the Organization for Economic Co-operation and Development (OECD) bring up a skilled concept that is urgently needed for education and the workplace today, namely 21st-century skills. Each institution provides different definitions and characteristics of 21st Century skills. However, there are four skills mentioned by most of these institutions, namely Creativity, Critical thinking, Communication, and Collaboration or 4C as super skills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{"citationItems":[{"id":"ITEM-1","itemData":{"DOI":"10.1080/00220272.2012.668938","ISSN":"00220272","abstract":"National curricula need to change drastically to comply with the competences needed for the 21 st century. In this paper eight frameworks describing 21 st century competences were analysed. A comprehensive search for information about 21 st century competences was conducted across the official websites of the selected frameworks, resulting in 32 documents that were analysed in detail. Travers and Westbury's framework of curriculum representations was used to determine horizontal and vertical consistency between the frameworks. The frameworks were compared on their underlying rationales and goals, their definition of 21 st century competences, and the recommended strategies for the implementation and assessment of these skills in educational practice. In addition three international studies were examined to analyse ho</w:instrText>
      </w:r>
      <w:r w:rsidRPr="00FE6271">
        <w:rPr>
          <w:rFonts w:ascii="Times New Roman" w:hAnsi="Times New Roman" w:cs="Times New Roman"/>
          <w:sz w:val="24"/>
          <w:szCs w:val="24"/>
          <w:lang w:val="en-US"/>
        </w:rPr>
        <w:instrText>w various countries (EU member states, OECD countries) and schools (SITES studies) deal (or not) with 21 st century competences. The findings indicate a large extent of alignment between the frameworks about what 21 st century competences are and why they are important (horizontal consistency), but intentions and practice seemed still far apart, indicating lack of vertical consistency. The implications of the implementation of 21 st century competences in national curriculum policies are discussed and recommendations are provided. © 2012 Taylor &amp; Francis.","author":[{"dropping-particle":"","family":"Voogt","given":"Joke","non-dropping-particle":"","parse-names":false,"suffix":""},{"dropping-particle":"","family":"Roblin","given":"Natalie Pareja","non-dropping-particle":"","parse-names":false,"suffix":""}],"container-title":"Journal of Curriculum Studies","id":"ITEM-1","issue":"3","issued":{"date-parts":[["2012"]]},"page":"299-321","title":"A comparative analysis of international frameworks for 21 st century competences: Implications for national curriculum policies","type":"article-journal","volume":"44"},"uris":["http://www.mendeley.com/documents/?uuid=23eb7c64-864e-4ab8-a312-cf985ab33048"]}],"mendeley":{"formattedCitation":"(Voogt &amp; Roblin, 2012)","plainTextFormattedCitation":"(Voogt &amp; Roblin, 2012)","previouslyFormattedCitation":"(Voogt &amp; Roblin, 2012)"},"properties":{"noteIndex":0},"schema":"https://github.com/citation-style-language/schema/raw/master/csl-citation.json"}</w:instrText>
      </w:r>
      <w:r>
        <w:rPr>
          <w:rFonts w:ascii="Times New Roman" w:hAnsi="Times New Roman" w:cs="Times New Roman"/>
          <w:sz w:val="24"/>
          <w:szCs w:val="24"/>
          <w:lang w:val="en-US"/>
        </w:rPr>
        <w:fldChar w:fldCharType="separate"/>
      </w:r>
      <w:r w:rsidRPr="00FE6271">
        <w:rPr>
          <w:rFonts w:ascii="Times New Roman" w:hAnsi="Times New Roman" w:cs="Times New Roman"/>
          <w:noProof/>
          <w:sz w:val="24"/>
          <w:szCs w:val="24"/>
          <w:lang w:val="en-US"/>
        </w:rPr>
        <w:t>(Voogt &amp; Roblin, 2012)</w:t>
      </w:r>
      <w:r>
        <w:rPr>
          <w:rFonts w:ascii="Times New Roman" w:hAnsi="Times New Roman" w:cs="Times New Roman"/>
          <w:sz w:val="24"/>
          <w:szCs w:val="24"/>
          <w:lang w:val="en-US"/>
        </w:rPr>
        <w:fldChar w:fldCharType="end"/>
      </w:r>
      <w:r w:rsidRPr="00FE62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E6271">
        <w:rPr>
          <w:rFonts w:ascii="Times New Roman" w:hAnsi="Times New Roman" w:cs="Times New Roman"/>
          <w:sz w:val="24"/>
          <w:szCs w:val="24"/>
          <w:lang w:val="en-US"/>
        </w:rPr>
        <w:t>With the progress of ICT, not only are 4C skills needed, but digital skills need to be integrated into every element of the 4C skills. The following are the results of a literature study on digital 4C skills.</w:t>
      </w:r>
    </w:p>
    <w:p w14:paraId="58C14E62" w14:textId="11B010E0" w:rsidR="007762FE" w:rsidRPr="007762FE" w:rsidRDefault="007762FE" w:rsidP="007762FE">
      <w:pPr>
        <w:spacing w:after="0" w:line="276" w:lineRule="auto"/>
        <w:rPr>
          <w:rStyle w:val="fontstyle21"/>
          <w:rFonts w:ascii="Times New Roman" w:hAnsi="Times New Roman" w:cs="Times New Roman"/>
          <w:b/>
          <w:bCs/>
          <w:sz w:val="24"/>
          <w:szCs w:val="24"/>
        </w:rPr>
      </w:pPr>
      <w:r w:rsidRPr="007762FE">
        <w:rPr>
          <w:rStyle w:val="fontstyle01"/>
          <w:rFonts w:ascii="Times New Roman" w:hAnsi="Times New Roman" w:cs="Times New Roman"/>
          <w:b w:val="0"/>
          <w:bCs w:val="0"/>
          <w:sz w:val="24"/>
          <w:szCs w:val="24"/>
        </w:rPr>
        <w:t>3.</w:t>
      </w:r>
      <w:r w:rsidR="001E3A68" w:rsidRPr="00206242">
        <w:rPr>
          <w:rStyle w:val="fontstyle01"/>
          <w:rFonts w:ascii="Times New Roman" w:hAnsi="Times New Roman" w:cs="Times New Roman"/>
          <w:b w:val="0"/>
          <w:bCs w:val="0"/>
          <w:sz w:val="24"/>
          <w:szCs w:val="24"/>
          <w:lang w:val="en-US"/>
        </w:rPr>
        <w:t>1</w:t>
      </w:r>
      <w:r w:rsidRPr="007762FE">
        <w:rPr>
          <w:rStyle w:val="fontstyle01"/>
          <w:rFonts w:ascii="Times New Roman" w:hAnsi="Times New Roman" w:cs="Times New Roman"/>
          <w:b w:val="0"/>
          <w:bCs w:val="0"/>
          <w:sz w:val="24"/>
          <w:szCs w:val="24"/>
        </w:rPr>
        <w:t xml:space="preserve">.1. </w:t>
      </w:r>
      <w:r w:rsidR="005263BD" w:rsidRPr="00206242">
        <w:rPr>
          <w:rFonts w:ascii="Times New Roman" w:hAnsi="Times New Roman" w:cs="Times New Roman"/>
          <w:sz w:val="24"/>
          <w:szCs w:val="24"/>
          <w:lang w:val="en-US"/>
        </w:rPr>
        <w:t>Communication Digital Skills</w:t>
      </w:r>
    </w:p>
    <w:p w14:paraId="0C885B35" w14:textId="1071951A" w:rsidR="00393CD3" w:rsidRPr="00393CD3" w:rsidRDefault="00393CD3" w:rsidP="007762FE">
      <w:pPr>
        <w:spacing w:after="0" w:line="276" w:lineRule="auto"/>
        <w:ind w:firstLine="720"/>
        <w:jc w:val="both"/>
        <w:rPr>
          <w:rFonts w:ascii="Times New Roman" w:hAnsi="Times New Roman" w:cs="Times New Roman"/>
          <w:sz w:val="24"/>
          <w:szCs w:val="24"/>
          <w:lang w:val="en-US"/>
        </w:rPr>
      </w:pPr>
      <w:r w:rsidRPr="00393CD3">
        <w:rPr>
          <w:rFonts w:ascii="Times New Roman" w:hAnsi="Times New Roman" w:cs="Times New Roman"/>
          <w:sz w:val="24"/>
          <w:szCs w:val="24"/>
          <w:lang w:val="en-US"/>
        </w:rPr>
        <w:t xml:space="preserve">Communication activities are facilitated by the development of ICT, such as communication can be done at a distance in a short time and with many people. Everyone can express themselves, establish relationships, and interact with others at any distance in space and time </w:t>
      </w:r>
      <w:r>
        <w:rPr>
          <w:rFonts w:ascii="Times New Roman" w:hAnsi="Times New Roman" w:cs="Times New Roman"/>
          <w:sz w:val="24"/>
          <w:szCs w:val="24"/>
          <w:lang w:val="sv-SE"/>
        </w:rPr>
        <w:fldChar w:fldCharType="begin" w:fldLock="1"/>
      </w:r>
      <w:r w:rsidRPr="00393CD3">
        <w:rPr>
          <w:rFonts w:ascii="Times New Roman" w:hAnsi="Times New Roman" w:cs="Times New Roman"/>
          <w:sz w:val="24"/>
          <w:szCs w:val="24"/>
          <w:lang w:val="en-US"/>
        </w:rPr>
        <w:instrText>ADDIN CSL_CITATION {"citationItems":[{"id":"ITEM-1","itemData":{"DOI":"10.1016/j.compedu.2010.06.015","ISSN":"03601315","abstract":"Online social networking has deeply penetrated university campuses, influencing multiple aspects of student life. We investigate the impacts of individual online social networking engagement (e.g., on Facebook) from a pedagogical standpoint. Based on social learning theory, we argue that two socialization processes, social acceptance and acculturation, bridge individual online social networking engagement with three domains of social learning outcomes. Results from a survey accompanied by focus group discussions demonstrate the substantial impacts of university student online social networking engagement on social learning processes and outcomes. Online social networking not only directly influences university students' learning outcomes, but also helps the students attain social acceptance from others and adapt to university culture, both of which play prominent roles in improving their learning outcomes. © 2010 Elsevier Ltd. All rights reserved.","author":[{"dropping-particle":"","family":"Yu","given":"Angela Yan","non-dropping-particle":"","parse-names":false,"suffix":""},{"dropping-particle":"","family":"Tian","given":"Stella Wen","non-dropping-particle":"","parse-names":false,"suffix":""},{"dropping-particle":"","family":"Vogel","given":"Douglas","non-dropping-particle":"","parse-names":false,"suffix":""},{"dropping-particle":"","family":"Chi-Wai Kwok","given":"Ron","non-dropping-particle":"","parse-names":false,"suffix":""}],"container-title":"Computers and Education","id":"ITEM-1","issue":"4","issued":{"date-parts":[["2010"]]},"page":"1494-1503","publisher":"Elsevier Ltd","title":"Can learning be virtually boosted? An investigation of online social networking impacts","type":"article-journal","volume":"55"},"uris":["http://www.mendeley.com/documents/?uuid=7a6bbab9-ff8f-4b34-8aba-d2a2212c40fd"]}],"mendeley":{"formattedCitation":"(Yu et al., 2010)","plainTextFormattedCitation":"(Yu et al., 2010)","previouslyFormattedCitation":"(Yu et al., 2010)"},"properties":{"noteIndex":0},"schema":"https://github.com/citation-style-language/schema/raw/master/csl-citation.json"}</w:instrText>
      </w:r>
      <w:r>
        <w:rPr>
          <w:rFonts w:ascii="Times New Roman" w:hAnsi="Times New Roman" w:cs="Times New Roman"/>
          <w:sz w:val="24"/>
          <w:szCs w:val="24"/>
          <w:lang w:val="sv-SE"/>
        </w:rPr>
        <w:fldChar w:fldCharType="separate"/>
      </w:r>
      <w:r w:rsidRPr="00393CD3">
        <w:rPr>
          <w:rFonts w:ascii="Times New Roman" w:hAnsi="Times New Roman" w:cs="Times New Roman"/>
          <w:noProof/>
          <w:sz w:val="24"/>
          <w:szCs w:val="24"/>
          <w:lang w:val="en-US"/>
        </w:rPr>
        <w:t>(Yu et al., 2010)</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xml:space="preserve">. ICT-based communication is a means to generate social interaction and strengthen social relations </w:t>
      </w:r>
      <w:r>
        <w:rPr>
          <w:rFonts w:ascii="Times New Roman" w:hAnsi="Times New Roman" w:cs="Times New Roman"/>
          <w:sz w:val="24"/>
          <w:szCs w:val="24"/>
          <w:lang w:val="sv-SE"/>
        </w:rPr>
        <w:fldChar w:fldCharType="begin" w:fldLock="1"/>
      </w:r>
      <w:r w:rsidRPr="00393CD3">
        <w:rPr>
          <w:rFonts w:ascii="Times New Roman" w:hAnsi="Times New Roman" w:cs="Times New Roman"/>
          <w:sz w:val="24"/>
          <w:szCs w:val="24"/>
          <w:lang w:val="en-US"/>
        </w:rPr>
        <w:instrText>ADDIN CSL_CITATION {"citationItems":[{"id":"ITEM-1","itemData":{"DOI":"10.1093/geroni/igx029","ISSN":"23995300","abstract":"Social relations, although basic to human nature, health and well-being, have become increasingly complicated as a result of changing population demography and technology. In this essay, we provide a historical overview of social relations, especially as they affect older people. We briefly review the evolution of theory and measurement surrounding social relations as well as early empirical evidence. We consider how social relations have changed over time as well as continuity and change regarding basic characteristics of social relations. Of special interest is the emerging influence of technology on how people maintain contact, especially the changing ways people can use technology to increase, decrease, maintain, or avoid social relations. We consider both negative and positive aspects of these new technologies and their influence on health and well-being. Finally, we conclude that new and emerging technologies hold great promise for the future by overcoming traditional barriers to maintaining social contact, support exchange, and information acquisition. Nevertheless, we caution that these new technologies can have the dehumanizing effect of distance thus creating the potential for insensitivity and increased negativity. In sum, we are cautiously optimistic about the promise of technology to expand, but not replace, traditional forms of social contact.","author":[{"dropping-particle":"","family":"Antonucci","given":"Toni C.","non-dropping-particle":"","parse-names":false,"suffix":""},{"dropping-particle":"","family":"Ajrouch","given":"Kristine J.","non-dropping-particle":"","parse-names":false,"suffix":""},{"dropping-particle":"","family":"Manalel","given":"Jasmine A.","non-dropping-particle":"","parse-names":false,"suffix":""}],"container-title":"Innovation in Aging","id":"ITEM-1","issue":"3","issued":{"date-parts":[["2017"]]},"page":"1-9","title":"Social Relations and Technology: Continuity, Context, and Change","type":"article-journal","volume":"1"},"uris":["http://www.mendeley.com/documents/?uuid=889a08e9-4db6-4b7e-952f-62c993d93032"]}],"mendeley":{"formattedCitation":"(Antonucci et al., 2017)","plainTextFormattedCitation":"(Antonucci et al., 2017)","previouslyFormattedCitation":"(Antonucci et al., 2017)"},"properties":{"noteIndex":0},"schema":"https://github.com/citation-style-language/schema/raw/master/csl-citation.json"}</w:instrText>
      </w:r>
      <w:r>
        <w:rPr>
          <w:rFonts w:ascii="Times New Roman" w:hAnsi="Times New Roman" w:cs="Times New Roman"/>
          <w:sz w:val="24"/>
          <w:szCs w:val="24"/>
          <w:lang w:val="sv-SE"/>
        </w:rPr>
        <w:fldChar w:fldCharType="separate"/>
      </w:r>
      <w:r w:rsidRPr="00393CD3">
        <w:rPr>
          <w:rFonts w:ascii="Times New Roman" w:hAnsi="Times New Roman" w:cs="Times New Roman"/>
          <w:noProof/>
          <w:sz w:val="24"/>
          <w:szCs w:val="24"/>
          <w:lang w:val="en-US"/>
        </w:rPr>
        <w:t>(Antonucci et al., 2017)</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xml:space="preserve">. A worker must understand proper and effective communication methods such as email, social networking sites and instant messaging services </w:t>
      </w:r>
      <w:r>
        <w:rPr>
          <w:rFonts w:ascii="Times New Roman" w:hAnsi="Times New Roman" w:cs="Times New Roman"/>
          <w:sz w:val="24"/>
          <w:szCs w:val="24"/>
          <w:lang w:val="sv-SE"/>
        </w:rPr>
        <w:fldChar w:fldCharType="begin" w:fldLock="1"/>
      </w:r>
      <w:r w:rsidRPr="00393CD3">
        <w:rPr>
          <w:rFonts w:ascii="Times New Roman" w:hAnsi="Times New Roman" w:cs="Times New Roman"/>
          <w:sz w:val="24"/>
          <w:szCs w:val="24"/>
          <w:lang w:val="en-US"/>
        </w:rPr>
        <w:instrText>ADDIN CSL_CITATION {"citationItems":[{"id":"ITEM-1","itemData":{"DOI":"10.1177/0734371X18804016","ISSN":"1552759X","abstract":"Although public employees increasingly utilize social media in the workplace, public management scholarship has provided little evidence on how public employees use such tools and what role they play in professional networks. Public organizations struggle to balance policies encouraging social media use for communication and regulations that prevent time wasting or security issues. We suggest that an examination of social media communication patterns can guide public organizations to design organizational policies and address internal social media use. Combining a network approach with insights from communication and social media studies, we investigate how closeness, proximity, interactions, and resources predict public employees’ communication on social media. We develop and test a multilevel model using 2014 egocentric network data among 2,362 employees in a U.S. public university. We find that social media communication in public organizations is explained by proximity, closeness, and social interactions rather than professional interactions and access to resources.","author":[{"dropping-particle":"","family":"Fusi","given":"Federica","non-dropping-particle":"","parse-names":false,"suffix":""},{"dropping-partic</w:instrText>
      </w:r>
      <w:r w:rsidRPr="00206242">
        <w:rPr>
          <w:rFonts w:ascii="Times New Roman" w:hAnsi="Times New Roman" w:cs="Times New Roman"/>
          <w:sz w:val="24"/>
          <w:szCs w:val="24"/>
          <w:lang w:val="en-US"/>
        </w:rPr>
        <w:instrText>le":"","family":"Zhang","given":"Fengxiu","non-dropping-particle":"","parse-names":false,"suffix":""}],"container-title":"Review of Public Personnel Administration","id":"ITEM-1","issue":"2","issued":{"date-parts":[["2020"]]},"page":"245-271","title":"Social Media Communication in the Workplace: Evidence From Public Employees’ Networks","type":"article-journal","volume":"40"},"uris":["http://www.mendeley.com/documents/?uuid=1acdb8d4-60a2-4417-be8f-7941b247d46d"]}],"mendeley":{"formattedCitation":"(Fusi &amp; Zhang, 2020)","plainTextFormattedCitation":"(Fusi &amp; Zhang, 2020)","previouslyFormattedCitation":"(Fusi &amp; Zhang, 2020)"},"properties":{"noteIndex":0},"schema":"https://github.com/citation-style-language/schema/raw/master/csl-citation.json"}</w:instrText>
      </w:r>
      <w:r>
        <w:rPr>
          <w:rFonts w:ascii="Times New Roman" w:hAnsi="Times New Roman" w:cs="Times New Roman"/>
          <w:sz w:val="24"/>
          <w:szCs w:val="24"/>
          <w:lang w:val="sv-SE"/>
        </w:rPr>
        <w:fldChar w:fldCharType="separate"/>
      </w:r>
      <w:r w:rsidRPr="00206242">
        <w:rPr>
          <w:rFonts w:ascii="Times New Roman" w:hAnsi="Times New Roman" w:cs="Times New Roman"/>
          <w:noProof/>
          <w:sz w:val="24"/>
          <w:szCs w:val="24"/>
          <w:lang w:val="en-US"/>
        </w:rPr>
        <w:t>(Fusi &amp; Zhang, 2020)</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Students also need communication skills in the learning process, such as online discussions, teleconferences and the Learning Management System (LMS). Individuals are encouraged to share ideas or ideas through online forums in the context of work or study. Students need skills to contact other members, discuss projects, and evaluate together regarding the progress of the project to be completed.</w:t>
      </w:r>
    </w:p>
    <w:p w14:paraId="17956F66" w14:textId="2F79166B" w:rsidR="002927BD" w:rsidRPr="00393CD3" w:rsidRDefault="00393CD3" w:rsidP="007762FE">
      <w:pPr>
        <w:spacing w:after="0" w:line="276" w:lineRule="auto"/>
        <w:ind w:firstLine="720"/>
        <w:jc w:val="both"/>
        <w:rPr>
          <w:rFonts w:ascii="Times New Roman" w:hAnsi="Times New Roman" w:cs="Times New Roman"/>
          <w:sz w:val="24"/>
          <w:szCs w:val="24"/>
          <w:lang w:val="en-US"/>
        </w:rPr>
      </w:pPr>
      <w:r w:rsidRPr="00393CD3">
        <w:rPr>
          <w:rFonts w:ascii="Times New Roman" w:hAnsi="Times New Roman" w:cs="Times New Roman"/>
          <w:sz w:val="24"/>
          <w:szCs w:val="24"/>
          <w:lang w:val="en-US"/>
        </w:rPr>
        <w:t xml:space="preserve">Many experts have built communication skills frameworks. </w:t>
      </w:r>
      <w:r>
        <w:rPr>
          <w:rFonts w:ascii="Times New Roman" w:hAnsi="Times New Roman" w:cs="Times New Roman"/>
          <w:sz w:val="24"/>
          <w:szCs w:val="24"/>
          <w:lang w:val="sv-SE"/>
        </w:rPr>
        <w:fldChar w:fldCharType="begin" w:fldLock="1"/>
      </w:r>
      <w:r w:rsidRPr="00206242">
        <w:rPr>
          <w:rFonts w:ascii="Times New Roman" w:hAnsi="Times New Roman" w:cs="Times New Roman"/>
          <w:sz w:val="24"/>
          <w:szCs w:val="24"/>
          <w:lang w:val="en-US"/>
        </w:rPr>
        <w:instrText>ADDIN CSL_CITATION {"citationItems":[{"id":"ITEM-1","itemData":{"ISBN":"9789400723238","abstract":"ATC21S is a system enabling formative assessment of Collaborative Problem Solving. ATC21S™ has been designed to support the de</w:instrText>
      </w:r>
      <w:r w:rsidRPr="00393CD3">
        <w:rPr>
          <w:rFonts w:ascii="Times New Roman" w:hAnsi="Times New Roman" w:cs="Times New Roman"/>
          <w:sz w:val="24"/>
          <w:szCs w:val="24"/>
          <w:lang w:val="en-US"/>
        </w:rPr>
        <w:instrText>velopment of social and cognitive skills needed to become a good collaborative problem solver","author":[{"dropping-particle":"","family":"Binkley","given":"Marilyn","non-dropping-particle":"","parse-names":false,"suffix":""},{"dropping-particle":"","family":"Erstad","given":"Ola","non-dropping-particle":"","parse-names":false,"suffix":""},{"dropping-particle":"","family":"Herman","given":"Joan","non-dropping-particle":"","parse-names":false,"suffix":""},{"dropping-particle":"","family":"Ripley","given":"Martin","non-dropping-particle":"","parse-names":false,"suffix":""},{"dropping-particle":"","family":"Rumble","given":"Mike","non-dropping-particle":"","parse-names":false,"suffix":""},{"dropping-particle":"","family":"Miller-Ricci","given":"May","non-dropping-particle":"","parse-names":false,"suffix":""}],"container-title":"Griffin, P., McGaw, B., Care, E. (eds) Assessment and Teaching of 21st Century Skills","id":"ITEM-1","issued":{"date-parts":[["2012"]]},"publisher":"Springer","title":"Assessment and Teaching of 21st Century Skills (ATC21S)","type":"chapter"},"uris":["http://www.mendeley.com/documents/?uuid=071a4e68-77bc-4097-a243-d607967e68c1"]}],"mendeley":{"formattedCitation":"(Binkley et al., 2012)","manualFormatting":"Binkley et al. (2012)","plainTextFormattedCitation":"(Binkley et al., 2012)","previouslyFormattedCitation":"(Binkley et al., 2012)"},"properties":{"noteIndex":0},"schema":"https://github.com/citation-style-language/schema/raw/master/csl-citation.json"}</w:instrText>
      </w:r>
      <w:r>
        <w:rPr>
          <w:rFonts w:ascii="Times New Roman" w:hAnsi="Times New Roman" w:cs="Times New Roman"/>
          <w:sz w:val="24"/>
          <w:szCs w:val="24"/>
          <w:lang w:val="sv-SE"/>
        </w:rPr>
        <w:fldChar w:fldCharType="separate"/>
      </w:r>
      <w:r w:rsidRPr="00393CD3">
        <w:rPr>
          <w:rFonts w:ascii="Times New Roman" w:hAnsi="Times New Roman" w:cs="Times New Roman"/>
          <w:noProof/>
          <w:sz w:val="24"/>
          <w:szCs w:val="24"/>
          <w:lang w:val="en-US"/>
        </w:rPr>
        <w:t>Binkley et al. (2012)</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xml:space="preserve"> built a framework for communication skills, including presenting information, utilizing various media and technology, listening actively, articulating thoughts and ideas effectively, using communication for various purposes, and communicating effectively. </w:t>
      </w:r>
      <w:r w:rsidR="002927BD" w:rsidRPr="002927BD">
        <w:rPr>
          <w:rFonts w:ascii="Times New Roman" w:hAnsi="Times New Roman" w:cs="Times New Roman"/>
          <w:sz w:val="24"/>
          <w:szCs w:val="24"/>
          <w:lang w:val="en-US"/>
        </w:rPr>
        <w:t xml:space="preserve">The research report from The Joint Task Force on Undergraduate Physics Programs provides a communication skills framework as follows </w:t>
      </w:r>
      <w:r w:rsidR="002927BD">
        <w:rPr>
          <w:rFonts w:ascii="Times New Roman" w:hAnsi="Times New Roman" w:cs="Times New Roman"/>
          <w:color w:val="000000" w:themeColor="text1"/>
          <w:sz w:val="24"/>
          <w:szCs w:val="24"/>
          <w:lang w:val="sv-SE"/>
        </w:rPr>
        <w:fldChar w:fldCharType="begin" w:fldLock="1"/>
      </w:r>
      <w:r w:rsidR="002927BD" w:rsidRPr="00393CD3">
        <w:rPr>
          <w:rFonts w:ascii="Times New Roman" w:hAnsi="Times New Roman" w:cs="Times New Roman"/>
          <w:color w:val="000000" w:themeColor="text1"/>
          <w:sz w:val="24"/>
          <w:szCs w:val="24"/>
          <w:lang w:val="en-US"/>
        </w:rPr>
        <w:instrText>ADDIN CSL_CITATION {"citationItems":[{"id":"ITEM-1","itemData":{"ISBN":"9780998252995","author":[{"dropping-particle":"","family":"Heron","given":"Paula","non-dropping-particle":"","parse-names":false,"suffix":""},{"dropping-particle":"","family":"McNeil","given":"Laurie","non-dropping-particle":"","parse-names":false,"suffix":""}],"container-title":"American Physical Society, American Association of Physics Teachers","id":"ITEM-1","issued":{"date-parts":[["2016"]]},"number-of-pages":"74","publisher":"American Physical Society","publisher-place":"College Park, MD","title":"Phys21: Preparing Physics Students for 21st-Century Careers","type":"book"},"uris":["http://www.mendeley.com/documents/?uuid=7a72c10f-a67d-439b-8b7f-efb3cff780f0"]}],"mendeley":{"formattedCitation":"(Heron &amp; McNeil, 2016)","plainTextFormattedCitation":"(Heron &amp; McNeil, 2016)","previouslyFormattedCitation":"(Heron &amp; McNeil, 2016)"},"properties":{"noteIndex":0},"schema":"https://github.com/citation-style-language/schema/raw/master/csl-citation.json"}</w:instrText>
      </w:r>
      <w:r w:rsidR="002927BD">
        <w:rPr>
          <w:rFonts w:ascii="Times New Roman" w:hAnsi="Times New Roman" w:cs="Times New Roman"/>
          <w:color w:val="000000" w:themeColor="text1"/>
          <w:sz w:val="24"/>
          <w:szCs w:val="24"/>
          <w:lang w:val="sv-SE"/>
        </w:rPr>
        <w:fldChar w:fldCharType="separate"/>
      </w:r>
      <w:r w:rsidR="002927BD" w:rsidRPr="00393CD3">
        <w:rPr>
          <w:rFonts w:ascii="Times New Roman" w:hAnsi="Times New Roman" w:cs="Times New Roman"/>
          <w:noProof/>
          <w:color w:val="000000" w:themeColor="text1"/>
          <w:sz w:val="24"/>
          <w:szCs w:val="24"/>
          <w:lang w:val="en-US"/>
        </w:rPr>
        <w:t>(Heron &amp; McNeil, 2016)</w:t>
      </w:r>
      <w:r w:rsidR="002927BD">
        <w:rPr>
          <w:rFonts w:ascii="Times New Roman" w:hAnsi="Times New Roman" w:cs="Times New Roman"/>
          <w:color w:val="000000" w:themeColor="text1"/>
          <w:sz w:val="24"/>
          <w:szCs w:val="24"/>
          <w:lang w:val="sv-SE"/>
        </w:rPr>
        <w:fldChar w:fldCharType="end"/>
      </w:r>
      <w:r w:rsidR="002927BD" w:rsidRPr="002927BD">
        <w:rPr>
          <w:rFonts w:ascii="Times New Roman" w:hAnsi="Times New Roman" w:cs="Times New Roman"/>
          <w:sz w:val="24"/>
          <w:szCs w:val="24"/>
          <w:lang w:val="en-US"/>
        </w:rPr>
        <w:t xml:space="preserve">): (1) Communicating with many people with different knowledge backgrounds, understanding the needs of each person, </w:t>
      </w:r>
      <w:r w:rsidR="00C40C7A" w:rsidRPr="00C40C7A">
        <w:rPr>
          <w:rFonts w:ascii="Times New Roman" w:hAnsi="Times New Roman" w:cs="Times New Roman"/>
          <w:sz w:val="24"/>
          <w:szCs w:val="24"/>
          <w:lang w:val="en-US"/>
        </w:rPr>
        <w:t xml:space="preserve">has </w:t>
      </w:r>
      <w:r w:rsidR="002927BD" w:rsidRPr="002927BD">
        <w:rPr>
          <w:rFonts w:ascii="Times New Roman" w:hAnsi="Times New Roman" w:cs="Times New Roman"/>
          <w:sz w:val="24"/>
          <w:szCs w:val="24"/>
          <w:lang w:val="en-US"/>
        </w:rPr>
        <w:t>provides a good impact on others. (2) Evaluate all incoming information through reading, listening, and discussing. (3) Be persuasive in conveying information and ideas to others. (4) Communicating in writing about scientific concepts with scientific and logical arguments. (5) Communicate using words, graphs, tables, equations and other visualizations. (6) Using feedback to evaluate the information being discussed.</w:t>
      </w:r>
    </w:p>
    <w:p w14:paraId="4F5B650A" w14:textId="296EABA5" w:rsidR="00393CD3" w:rsidRPr="00393CD3" w:rsidRDefault="00393CD3" w:rsidP="007762FE">
      <w:pPr>
        <w:spacing w:after="0" w:line="276" w:lineRule="auto"/>
        <w:ind w:firstLine="720"/>
        <w:jc w:val="both"/>
        <w:rPr>
          <w:rFonts w:ascii="Times New Roman" w:hAnsi="Times New Roman" w:cs="Times New Roman"/>
          <w:color w:val="000000" w:themeColor="text1"/>
          <w:sz w:val="24"/>
          <w:szCs w:val="24"/>
          <w:lang w:val="en-US"/>
        </w:rPr>
      </w:pPr>
      <w:r w:rsidRPr="00393CD3">
        <w:rPr>
          <w:rFonts w:ascii="Times New Roman" w:hAnsi="Times New Roman" w:cs="Times New Roman"/>
          <w:color w:val="000000" w:themeColor="text1"/>
          <w:sz w:val="24"/>
          <w:szCs w:val="24"/>
          <w:lang w:val="en-US"/>
        </w:rPr>
        <w:t xml:space="preserve">A communication skills framework can also refer to a scientific communication skills framework that includes information seeking, scientific reading, scientific writing, listening and observing, information representation, and knowledge presentation </w:t>
      </w:r>
      <w:r>
        <w:rPr>
          <w:rFonts w:ascii="Times New Roman" w:hAnsi="Times New Roman" w:cs="Times New Roman"/>
          <w:color w:val="000000" w:themeColor="text1"/>
          <w:sz w:val="24"/>
          <w:szCs w:val="24"/>
          <w:lang w:val="sv-SE"/>
        </w:rPr>
        <w:fldChar w:fldCharType="begin" w:fldLock="1"/>
      </w:r>
      <w:r w:rsidRPr="00393CD3">
        <w:rPr>
          <w:rFonts w:ascii="Times New Roman" w:hAnsi="Times New Roman" w:cs="Times New Roman"/>
          <w:color w:val="000000" w:themeColor="text1"/>
          <w:sz w:val="24"/>
          <w:szCs w:val="24"/>
          <w:lang w:val="en-US"/>
        </w:rPr>
        <w:instrText>ADDIN CSL_CITATION {"citationItems":[{"id":"ITEM-1","itemData":{"ISBN":"9789400723238","abstract":"ATC21S is a system enabling formative assessment of Collaborative Problem Solving. ATC21S™ has been designed to support the development of social and cognitive skills needed to become a good collaborative problem solver","author":[{"dropping-particle":"","family":"Binkley","given":"Marilyn","non-dropping-particle":"","parse-names":false,"suffix":""},{"dropping-particle":"","family":"Erstad","given":"Ola","non-dropping-particle":"","parse-names":false,"suffix":""},{"dropping-particle":"","family":"Herman","given":"Joan","non-dropping-particle":"","parse-names":false,"suffix":""},{"dropping-particle":"","family":"Ripley","given":"Martin","non-dropping-particle":"","parse-names":false,"suffix":""},{"dropping-particle":"","family":"Rumble","given":"Mike","non-dropping-particle":"","parse-names":false,"suffix":""},{"dropping-particle":"","family":"Miller-Ricci","given":"May","non-dropping-particle":"","parse-names":false,"suffix":""}],"container-title":"Griffin, P., McGaw, B., Care, E. (eds) Assessment and Teaching of 21st Century Skills","id":"ITEM-1","issued":{"date-parts":[["2012"]]},"publisher":"Springer","title":"Assessment and Teaching of 21st Century Skills (ATC21S)","type":"chapter"},"uris":["http://www.mendeley.com/documents/?uuid=071a4e68-77bc-4097-a243-d607967e68c1"]}],"mendeley":{"formattedCitation":"(Binkley et al., 2012)","plainTextFormattedCitation":"(Binkley et al., 2012)","previouslyFormattedCitation":"(Binkley et al., 2012)"},"properties":{"noteIndex":0},"schema":"https://github.com/citation-style-language/schema/raw/master/csl-citation.json"}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393CD3">
        <w:rPr>
          <w:rFonts w:ascii="Times New Roman" w:hAnsi="Times New Roman" w:cs="Times New Roman"/>
          <w:noProof/>
          <w:color w:val="000000" w:themeColor="text1"/>
          <w:sz w:val="24"/>
          <w:szCs w:val="24"/>
          <w:lang w:val="en-US"/>
        </w:rPr>
        <w:t>(Binkley et al., 2012)</w:t>
      </w:r>
      <w:r>
        <w:rPr>
          <w:rFonts w:ascii="Times New Roman" w:hAnsi="Times New Roman" w:cs="Times New Roman"/>
          <w:color w:val="000000" w:themeColor="text1"/>
          <w:sz w:val="24"/>
          <w:szCs w:val="24"/>
          <w:lang w:val="sv-SE"/>
        </w:rPr>
        <w:fldChar w:fldCharType="end"/>
      </w:r>
      <w:r w:rsidRPr="00393CD3">
        <w:rPr>
          <w:rFonts w:ascii="Times New Roman" w:hAnsi="Times New Roman" w:cs="Times New Roman"/>
          <w:color w:val="000000" w:themeColor="text1"/>
          <w:sz w:val="24"/>
          <w:szCs w:val="24"/>
          <w:lang w:val="en-US"/>
        </w:rPr>
        <w:t xml:space="preserve">. This disclosure is very relevant to the framework put forward by The Joint Task Force on Undergraduate Physics Programs. The framework is integrated with the use of technology when students communicate. </w:t>
      </w:r>
      <w:r w:rsidR="00C27002" w:rsidRPr="00C27002">
        <w:rPr>
          <w:rFonts w:ascii="Times New Roman" w:hAnsi="Times New Roman" w:cs="Times New Roman"/>
          <w:color w:val="000000" w:themeColor="text1"/>
          <w:sz w:val="24"/>
          <w:szCs w:val="24"/>
          <w:lang w:val="en-US"/>
        </w:rPr>
        <w:t xml:space="preserve">This framework is </w:t>
      </w:r>
      <w:r w:rsidR="00C40C7A" w:rsidRPr="00C40C7A">
        <w:rPr>
          <w:rFonts w:ascii="Times New Roman" w:hAnsi="Times New Roman" w:cs="Times New Roman"/>
          <w:color w:val="000000" w:themeColor="text1"/>
          <w:sz w:val="24"/>
          <w:szCs w:val="24"/>
          <w:lang w:val="en-US"/>
        </w:rPr>
        <w:t>based on</w:t>
      </w:r>
      <w:r w:rsidR="00C27002" w:rsidRPr="00C27002">
        <w:rPr>
          <w:rFonts w:ascii="Times New Roman" w:hAnsi="Times New Roman" w:cs="Times New Roman"/>
          <w:color w:val="000000" w:themeColor="text1"/>
          <w:sz w:val="24"/>
          <w:szCs w:val="24"/>
          <w:lang w:val="en-US"/>
        </w:rPr>
        <w:t xml:space="preserve"> an authentic scientific framework that includes the complexity of scientific information, the need to analyze scientific data with multiple representations and the understanding of the unique structure of scientific articles </w:t>
      </w:r>
      <w:r>
        <w:rPr>
          <w:rFonts w:ascii="Times New Roman" w:hAnsi="Times New Roman" w:cs="Times New Roman"/>
          <w:color w:val="000000" w:themeColor="text1"/>
          <w:sz w:val="24"/>
          <w:szCs w:val="24"/>
          <w:lang w:val="sv-SE"/>
        </w:rPr>
        <w:fldChar w:fldCharType="begin" w:fldLock="1"/>
      </w:r>
      <w:r w:rsidRPr="003E29BF">
        <w:rPr>
          <w:rFonts w:ascii="Times New Roman" w:hAnsi="Times New Roman" w:cs="Times New Roman"/>
          <w:color w:val="000000" w:themeColor="text1"/>
          <w:sz w:val="24"/>
          <w:szCs w:val="24"/>
        </w:rPr>
        <w:instrText>ADDIN CSL_CITATION {"citationItems":[{"id":"ITEM-1","itemData":{"DOI":"10.1007/s10763-009-9150-6","ISSN":"15710068","abstract":"This study explores the impact of 'Scientific Communication' (SC) skills instruction on students' performances in scientific literacy assessment tasks. We present a general model for skills instruction, characterized by explicit and spiral instruction, integration into content learning, practice in several scientific topics, and application of performance tasks. The model was applied through an instructional program that focuses on the following learning skills: information retrieval, scientific reading and writing, listening and observing, data representation, and knowledge presentation. Throughout the 7th-8th grades, 160 students learned the whole program or one of its components: structured instruction (SI) of SC skills, or performance tasks (PT). A comparison group of 42 students did not receive instruction of SC skills. Students' performances were assessed through a questionnaire and a complex task that measured students' scientific content knowledge, SC skills, and the quality of the final products. Results indicated that students who learned the whole program or one of its components achieved higher scores in all categories than the comparison group students. High achievers can benefit from just one component of the program: either structured instruction (SI) or learning from practice (PT). However, they can hardly acquire SC skills spontaneously. Low and average achievers require both components of the SC program to improve their performances. Results show that without planned intervention, the spontaneous attainment of SC skills occurs only to a limited extent. Systematic teaching of skills can make a significant difference. The explicit instruction of skills integrated into scientific topics, the opportunities to implement the skills in different contexts, the role of performance tasks as 'assessment for learning'-all these features are important and necessary for improving students' scientific literacy. Our general model of skills instruction can be applied to the instruction of other high-order skills. I</w:instrText>
      </w:r>
      <w:r w:rsidRPr="00454743">
        <w:rPr>
          <w:rFonts w:ascii="Times New Roman" w:hAnsi="Times New Roman" w:cs="Times New Roman"/>
          <w:color w:val="000000" w:themeColor="text1"/>
          <w:sz w:val="24"/>
          <w:szCs w:val="24"/>
        </w:rPr>
        <w:instrText>ts application can lead to the realization of the central goal of science education: literate students possessing scientific knowledge. © National Science Council, Taiwan 2009.","author":[{"dropping-particle":"","family":"Spektor-Levy","given":"Ornit","non-dropping-particle":"","parse-names":false,"suffix":""},{"dropping-particle":"","family":"Eylon","given":"Bat Sheva","non-dropping-particle":"","parse-names":false,"suffix":""},{"dropping-particle":"","family":"Scherz","given":"Zahava","non-dropping-particle":"","parse-names":false,"suffix":""}],"container-title":"International Journal of Science and Mathematics Education","id":"ITEM-1","issue":"5","issued":{"date-parts":[["2009"]]},"page":"875-903","title":"Teaching scientific communication skills in science studies: Does it make a difference?","type":"article-journal","volume":"7"},"uris":["http://www.mendeley.com/documents/?uuid=cd8f465e-4e2a-4919-a237-a9b2a2a36265"]}],"mendeley":{"formattedCitation":"(Spektor-Levy et al., 2009)","plainTextFormattedCitation":"(Spektor-Levy et al., 2009)","previouslyFormattedCitation":"(Spektor-Levy et al., 2009)"},"properties":{"noteIndex":0},"schema":"https://github.com/citation-style-language/schema/raw/master/csl-citation.json"}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454743">
        <w:rPr>
          <w:rFonts w:ascii="Times New Roman" w:hAnsi="Times New Roman" w:cs="Times New Roman"/>
          <w:noProof/>
          <w:color w:val="000000" w:themeColor="text1"/>
          <w:sz w:val="24"/>
          <w:szCs w:val="24"/>
        </w:rPr>
        <w:t xml:space="preserve">(Spektor-Levy </w:t>
      </w:r>
      <w:r w:rsidRPr="00454743">
        <w:rPr>
          <w:rFonts w:ascii="Times New Roman" w:hAnsi="Times New Roman" w:cs="Times New Roman"/>
          <w:noProof/>
          <w:color w:val="000000" w:themeColor="text1"/>
          <w:sz w:val="24"/>
          <w:szCs w:val="24"/>
        </w:rPr>
        <w:lastRenderedPageBreak/>
        <w:t>et al., 2009)</w:t>
      </w:r>
      <w:r>
        <w:rPr>
          <w:rFonts w:ascii="Times New Roman" w:hAnsi="Times New Roman" w:cs="Times New Roman"/>
          <w:color w:val="000000" w:themeColor="text1"/>
          <w:sz w:val="24"/>
          <w:szCs w:val="24"/>
          <w:lang w:val="sv-SE"/>
        </w:rPr>
        <w:fldChar w:fldCharType="end"/>
      </w:r>
      <w:r w:rsidRPr="00393CD3">
        <w:rPr>
          <w:rFonts w:ascii="Times New Roman" w:hAnsi="Times New Roman" w:cs="Times New Roman"/>
          <w:color w:val="000000" w:themeColor="text1"/>
          <w:sz w:val="24"/>
          <w:szCs w:val="24"/>
          <w:lang w:val="en-US"/>
        </w:rPr>
        <w:t xml:space="preserve">. </w:t>
      </w:r>
      <w:r w:rsidR="00EB58F8" w:rsidRPr="00EB58F8">
        <w:rPr>
          <w:rFonts w:ascii="Times New Roman" w:hAnsi="Times New Roman" w:cs="Times New Roman"/>
          <w:color w:val="000000" w:themeColor="text1"/>
          <w:sz w:val="24"/>
          <w:szCs w:val="24"/>
          <w:lang w:val="en-US"/>
        </w:rPr>
        <w:t xml:space="preserve">Digital communication skills in science can be described as communicating scientific information with technological support through LMS, teleconferencing, social media, and e-mail </w:t>
      </w:r>
      <w:r>
        <w:rPr>
          <w:rFonts w:ascii="Times New Roman" w:hAnsi="Times New Roman" w:cs="Times New Roman"/>
          <w:color w:val="000000" w:themeColor="text1"/>
          <w:sz w:val="24"/>
          <w:szCs w:val="24"/>
          <w:lang w:val="sv-SE"/>
        </w:rPr>
        <w:fldChar w:fldCharType="begin" w:fldLock="1"/>
      </w:r>
      <w:r w:rsidRPr="00454743">
        <w:rPr>
          <w:rFonts w:ascii="Times New Roman" w:hAnsi="Times New Roman" w:cs="Times New Roman"/>
          <w:color w:val="000000" w:themeColor="text1"/>
          <w:sz w:val="24"/>
          <w:szCs w:val="24"/>
        </w:rPr>
        <w:instrText>ADDIN CSL_CITATION {"citationItems":[{"id":"ITEM-1","itemData":{"author":[{"dropping-particle":"","family":"Herman","given":"Joan","non-dropping-particle":"","parse-names":false,"suffix":""},{"dropping-particle":"","family":"Hilton","given":"Margaret","non-dropping-particle":"","parse-names":false,"suffix":""}],"id":"ITEM-1","issued":{"date-parts":[["2017"]]},"publisher":"The National Academies Press","publisher-place":"Washington, DC","title":"Supporting students’ college success: The role of assessment of intrapersonal and interpersonal competencies","type":"book"},"uris":["http://www.mendeley.com/documents/?uuid=e0be78b1-b655-45da-bbbf-fa29df4da6c0"]}],"mendeley":{"formattedCitation":"(Herman &amp; Hilton, 2017)","plainTextFormattedCitation":"(Herman &amp; Hilton, 2017)","previouslyFormattedCitation":"(Herman &amp; Hilton, 2017)"},"properties":{"noteIndex":0},"schema":"https://github.com/citation-style-language/schema/raw/master/csl-citation.json"}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454743">
        <w:rPr>
          <w:rFonts w:ascii="Times New Roman" w:hAnsi="Times New Roman" w:cs="Times New Roman"/>
          <w:noProof/>
          <w:color w:val="000000" w:themeColor="text1"/>
          <w:sz w:val="24"/>
          <w:szCs w:val="24"/>
        </w:rPr>
        <w:t>(Herman &amp; Hilton, 2017)</w:t>
      </w:r>
      <w:r>
        <w:rPr>
          <w:rFonts w:ascii="Times New Roman" w:hAnsi="Times New Roman" w:cs="Times New Roman"/>
          <w:color w:val="000000" w:themeColor="text1"/>
          <w:sz w:val="24"/>
          <w:szCs w:val="24"/>
          <w:lang w:val="sv-SE"/>
        </w:rPr>
        <w:fldChar w:fldCharType="end"/>
      </w:r>
      <w:r w:rsidRPr="00393CD3">
        <w:rPr>
          <w:rFonts w:ascii="Times New Roman" w:hAnsi="Times New Roman" w:cs="Times New Roman"/>
          <w:color w:val="000000" w:themeColor="text1"/>
          <w:sz w:val="24"/>
          <w:szCs w:val="24"/>
          <w:lang w:val="en-US"/>
        </w:rPr>
        <w:t>.</w:t>
      </w:r>
    </w:p>
    <w:p w14:paraId="7844AEA5" w14:textId="214485B0" w:rsidR="007753ED" w:rsidRPr="007762FE" w:rsidRDefault="007753ED" w:rsidP="007753ED">
      <w:pPr>
        <w:spacing w:after="0" w:line="276" w:lineRule="auto"/>
        <w:rPr>
          <w:rStyle w:val="fontstyle21"/>
          <w:rFonts w:ascii="Times New Roman" w:hAnsi="Times New Roman" w:cs="Times New Roman"/>
          <w:b/>
          <w:bCs/>
          <w:sz w:val="24"/>
          <w:szCs w:val="24"/>
        </w:rPr>
      </w:pPr>
      <w:r w:rsidRPr="007762FE">
        <w:rPr>
          <w:rStyle w:val="fontstyle01"/>
          <w:rFonts w:ascii="Times New Roman" w:hAnsi="Times New Roman" w:cs="Times New Roman"/>
          <w:b w:val="0"/>
          <w:bCs w:val="0"/>
          <w:sz w:val="24"/>
          <w:szCs w:val="24"/>
        </w:rPr>
        <w:t>3.</w:t>
      </w:r>
      <w:r w:rsidR="001E3A68" w:rsidRPr="00C27002">
        <w:rPr>
          <w:rStyle w:val="fontstyle01"/>
          <w:rFonts w:ascii="Times New Roman" w:hAnsi="Times New Roman" w:cs="Times New Roman"/>
          <w:b w:val="0"/>
          <w:bCs w:val="0"/>
          <w:sz w:val="24"/>
          <w:szCs w:val="24"/>
          <w:lang w:val="en-US"/>
        </w:rPr>
        <w:t>1</w:t>
      </w:r>
      <w:r w:rsidRPr="007762FE">
        <w:rPr>
          <w:rStyle w:val="fontstyle01"/>
          <w:rFonts w:ascii="Times New Roman" w:hAnsi="Times New Roman" w:cs="Times New Roman"/>
          <w:b w:val="0"/>
          <w:bCs w:val="0"/>
          <w:sz w:val="24"/>
          <w:szCs w:val="24"/>
        </w:rPr>
        <w:t>.</w:t>
      </w:r>
      <w:r w:rsidR="001E3A68" w:rsidRPr="00C27002">
        <w:rPr>
          <w:rStyle w:val="fontstyle01"/>
          <w:rFonts w:ascii="Times New Roman" w:hAnsi="Times New Roman" w:cs="Times New Roman"/>
          <w:b w:val="0"/>
          <w:bCs w:val="0"/>
          <w:sz w:val="24"/>
          <w:szCs w:val="24"/>
          <w:lang w:val="en-US"/>
        </w:rPr>
        <w:t>2</w:t>
      </w:r>
      <w:r w:rsidRPr="007762FE">
        <w:rPr>
          <w:rStyle w:val="fontstyle01"/>
          <w:rFonts w:ascii="Times New Roman" w:hAnsi="Times New Roman" w:cs="Times New Roman"/>
          <w:b w:val="0"/>
          <w:bCs w:val="0"/>
          <w:sz w:val="24"/>
          <w:szCs w:val="24"/>
        </w:rPr>
        <w:t xml:space="preserve">. </w:t>
      </w:r>
      <w:r w:rsidR="005263BD" w:rsidRPr="00C27002">
        <w:rPr>
          <w:rFonts w:ascii="Times New Roman" w:hAnsi="Times New Roman" w:cs="Times New Roman"/>
          <w:sz w:val="24"/>
          <w:szCs w:val="24"/>
          <w:lang w:val="en-US"/>
        </w:rPr>
        <w:t>Collaboration Digital Skills</w:t>
      </w:r>
    </w:p>
    <w:p w14:paraId="20B2439D" w14:textId="73392303" w:rsidR="00393CD3" w:rsidRPr="00393CD3" w:rsidRDefault="00393CD3" w:rsidP="00451C94">
      <w:pPr>
        <w:spacing w:after="0" w:line="276" w:lineRule="auto"/>
        <w:ind w:firstLine="720"/>
        <w:jc w:val="both"/>
        <w:rPr>
          <w:rFonts w:ascii="Times New Roman" w:hAnsi="Times New Roman" w:cs="Times New Roman"/>
          <w:sz w:val="24"/>
          <w:szCs w:val="24"/>
          <w:lang w:val="en-US"/>
        </w:rPr>
      </w:pPr>
      <w:r w:rsidRPr="00393CD3">
        <w:rPr>
          <w:rFonts w:ascii="Times New Roman" w:hAnsi="Times New Roman" w:cs="Times New Roman"/>
          <w:sz w:val="24"/>
          <w:szCs w:val="24"/>
          <w:lang w:val="en-US"/>
        </w:rPr>
        <w:t xml:space="preserve">The process of collaboration or interdependence activities between individuals to achieve common goals is increasingly supported by ICT. ICT is especially useful when teams have to share information and make decisions while in different areas </w:t>
      </w:r>
      <w:r>
        <w:rPr>
          <w:rFonts w:ascii="Times New Roman" w:hAnsi="Times New Roman" w:cs="Times New Roman"/>
          <w:sz w:val="24"/>
          <w:szCs w:val="24"/>
          <w:lang w:val="sv-SE"/>
        </w:rPr>
        <w:fldChar w:fldCharType="begin" w:fldLock="1"/>
      </w:r>
      <w:r w:rsidRPr="00393CD3">
        <w:rPr>
          <w:rFonts w:ascii="Times New Roman" w:hAnsi="Times New Roman" w:cs="Times New Roman"/>
          <w:sz w:val="24"/>
          <w:szCs w:val="24"/>
          <w:lang w:val="en-US"/>
        </w:rPr>
        <w:instrText>ADDIN CSL_CITATION {"citationItems":[{"id":"ITEM-1","itemData":{"DOI":"10.5937/megrev1402221l","ISSN":"1820-3159","abstract":"The information necessary to make important decisions is held by many different hierarchical levels in organizations and management needs to find the answer on the question should the decisions be centralized and made by the top management or decen-tralized and made by the managers and employees of the lower-level units. This question becomes more important in the big data era which is characterized by volume, velocity, and variety of data. The aim of this paper is to analyze whether information and communication tech-nology leads to centralization or decentralization tendencies in organizations and to give answer on the question what are the new challenges of decision making process in the big data era. The conclusion is that information and communication technology provides all organizational level with information that traditionally was used by only few levels, reducing internal coordination costs and enabling organizations to allow decision making across a higher range of hierarchical levels. But final decision of allocation of decision rights depends on knowledge of employees, especially in the big data era, where professionals with new knowledge and skills (known as data scientist) became of tre-mendous importance.","author":[{"dropping-particle":"","family":"Lukic","given":"Jelena","non-dropping-particle":"","parse-names":false,"suffix":""}],"container-title":"Megatrend revija","id":"ITEM-1","issue":"2","issued":{"date-parts":[["2014"]]},"page":"221-234","title":"The impact of information and communication technology on decision making process in the big data era","type":"article-journal","volume":"11"},"uris":["http://www.mendeley.com/documents/?uuid=267d22a6-041c-4590-97b1-6fd4f41a84c3"]}],"mendeley":{"formattedCitation":"(Lukic, 2014)","plainTextFormattedCitation":"(Lukic, 2014)","previouslyFormattedCitation":"(Lukic, 2014)"},"properties":{"noteIndex":0},"schema":"https://github.com/citation-style-language/schema/raw/master/csl-citation.json"}</w:instrText>
      </w:r>
      <w:r>
        <w:rPr>
          <w:rFonts w:ascii="Times New Roman" w:hAnsi="Times New Roman" w:cs="Times New Roman"/>
          <w:sz w:val="24"/>
          <w:szCs w:val="24"/>
          <w:lang w:val="sv-SE"/>
        </w:rPr>
        <w:fldChar w:fldCharType="separate"/>
      </w:r>
      <w:r w:rsidRPr="00393CD3">
        <w:rPr>
          <w:rFonts w:ascii="Times New Roman" w:hAnsi="Times New Roman" w:cs="Times New Roman"/>
          <w:noProof/>
          <w:sz w:val="24"/>
          <w:szCs w:val="24"/>
          <w:lang w:val="en-US"/>
        </w:rPr>
        <w:t>(Lukic, 2014)</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Teams can instantly exchange ideas, information and experiences by using technology as a venue for discussion (</w:t>
      </w:r>
      <w:proofErr w:type="gramStart"/>
      <w:r w:rsidRPr="00393CD3">
        <w:rPr>
          <w:rFonts w:ascii="Times New Roman" w:hAnsi="Times New Roman" w:cs="Times New Roman"/>
          <w:sz w:val="24"/>
          <w:szCs w:val="24"/>
          <w:lang w:val="en-US"/>
        </w:rPr>
        <w:t>e.g.</w:t>
      </w:r>
      <w:proofErr w:type="gramEnd"/>
      <w:r w:rsidRPr="00393CD3">
        <w:rPr>
          <w:rFonts w:ascii="Times New Roman" w:hAnsi="Times New Roman" w:cs="Times New Roman"/>
          <w:sz w:val="24"/>
          <w:szCs w:val="24"/>
          <w:lang w:val="en-US"/>
        </w:rPr>
        <w:t xml:space="preserve"> zoom meetings, Skype, WhatsApp, LMS). Therefore, students need skills to connect and collaborate with others in different places </w:t>
      </w:r>
      <w:r>
        <w:rPr>
          <w:rFonts w:ascii="Times New Roman" w:hAnsi="Times New Roman" w:cs="Times New Roman"/>
          <w:sz w:val="24"/>
          <w:szCs w:val="24"/>
          <w:lang w:val="sv-SE"/>
        </w:rPr>
        <w:fldChar w:fldCharType="begin" w:fldLock="1"/>
      </w:r>
      <w:r w:rsidRPr="00393CD3">
        <w:rPr>
          <w:rFonts w:ascii="Times New Roman" w:hAnsi="Times New Roman" w:cs="Times New Roman"/>
          <w:sz w:val="24"/>
          <w:szCs w:val="24"/>
          <w:lang w:val="en-US"/>
        </w:rPr>
        <w:instrText>ADDIN CSL_CITATION {"citationItems":[{"id":"ITEM-1","itemData":{"DOI":"10.3390/jintelligence11030054","ISSN":"20793200","abstract":"This article addresses educational challenges posed by the future of work, examining “21st century skills”, their conception, assessment, and valorization. It focuses in particular on key soft skill competencies known as the “4Cs”: creativity, critical thinking, collaboration, and communication. In a section on each C, we provide an overview of assessment at the level of individual performance, before focusing on the less common assessment of systemic support for the development of the 4Cs that can be measured at the institutional level (i.e., in schools, universities, professional training programs, etc.). We then present the process of official assessment and certification known as “labelization”, suggesting it as a solution both for establishing a publicly trusted assessment of the 4Cs and for promoting their cultural valorization. Next, two variations of the “International Institute for Competency Development’s 21st Century Skills Framework” are presented. The first of these comprehensive systems allows for the assessment and labelization of the extent to which development of the 4Cs is supported by a formal educational program or institution. The second assesses informal educational or training experiences, such as playing a game. We discuss the overl</w:instrText>
      </w:r>
      <w:r>
        <w:rPr>
          <w:rFonts w:ascii="Times New Roman" w:hAnsi="Times New Roman" w:cs="Times New Roman"/>
          <w:sz w:val="24"/>
          <w:szCs w:val="24"/>
          <w:lang w:val="sv-SE"/>
        </w:rPr>
        <w:instrText>ap between the 4Cs and the challenges of teaching and institutionalizing them, both of which may be assisted by adopting a dynamic interactionist model of the 4Cs—playfully entitled “Crea-Critical-Collab-ication”—for pedagogical and policy-promotion purposes. We conclude by briefly discussing opportunities presented by future research and new technologies such as artificial intelligence and virtual reality.","author":[{"dropping-particle":"","family":"Thornhill-Miller","given":"Branden","non-dropping-particle":"","parse-names":false,"suffix":""},{"dropping-particle":"","family":"Camarda","given":"Anaëlle","non-dropping-particle":"","parse-names":false,"suffix":""},{"dropping-particle":"","family":"Mercier","given":"Maxence","non-dropping-particle":"","parse-names":false,"suffix":""},{"dropping-particle":"","family":"Burkhardt","given":"Jean-Marie","non-dropping-particle":"","parse-names":false,"suffix":""},{"dropping-particle":"","family":"Morisseau","given":"Tiffany","non-dropping-particle":"","parse-names":false,"suffix":""},{"dropping-particle":"","family":"Bourgeois-Bougrine","given":"Samira","non-dropping-particle":"","parse-names":false,"suffix":""},{"dropping-particle":"","family":"Vinchon","given":"Florent","non-dropping-particle":"","pars</w:instrText>
      </w:r>
      <w:r w:rsidRPr="00C27002">
        <w:rPr>
          <w:rFonts w:ascii="Times New Roman" w:hAnsi="Times New Roman" w:cs="Times New Roman"/>
          <w:sz w:val="24"/>
          <w:szCs w:val="24"/>
          <w:lang w:val="en-US"/>
        </w:rPr>
        <w:instrText>e-names":false,"suffix":""},{"dropping-particle":"","family":"Hayek","given":"Stephanie","non-dropping-particle":"El","parse-names":false,"suffix":""},{"dropping-particle":"","family":"Augereau-Landais","given":"Myriam","non-dropping-particle":"","parse-names":false,"suffix":""},{"dropping-particle":"","family":"Mourey","given":"Florence","non-dropping-particle":"","parse-names":false,"suffix":""},{"dropping-particle":"","family":"Feybesse","given":"Cyrille","non-dropping-particle":"","parse-names":false,"suffix":""},{"dropping-particle":"","family":"Sundquist","given":"Daniel","non-dropping-particle":"","parse-names":false,"suffix":""},{"dropping-particle":"","family":"Lubart","given":"Todd","non-dropping-particle":"","parse-names":false,"suffix":""}],"container-title":"Journal of Intelligence","id":"ITEM-1","issue":"3","issued":{"date-parts":[["2023"]]},"page":"54","title":"Creativity, Critical Thinking, Communication, and Collaboration: Assessment, Certification, and Promotion of 21st Century Skills for the Future of Work and Education","type":"article-journal","volume":"11"},"uris":["http://www.mendeley.com/documents/?uuid=dbc694c6-d8f7-40ec-8286-39375ac2e648"]}],"mendeley":{"formattedCitation":"(Thornhill-Miller et al., 2023)","plainTextFormattedCitation":"(Thornhill-Miller et al., 2023)","previouslyFormattedCitation":"(Thornhill-Miller et al., 2023)"},"properties":{"noteIndex":0},"schema":"https://github.com/citation-style-language/schema/raw/master/csl-citation.json"}</w:instrText>
      </w:r>
      <w:r>
        <w:rPr>
          <w:rFonts w:ascii="Times New Roman" w:hAnsi="Times New Roman" w:cs="Times New Roman"/>
          <w:sz w:val="24"/>
          <w:szCs w:val="24"/>
          <w:lang w:val="sv-SE"/>
        </w:rPr>
        <w:fldChar w:fldCharType="separate"/>
      </w:r>
      <w:r w:rsidRPr="00C27002">
        <w:rPr>
          <w:rFonts w:ascii="Times New Roman" w:hAnsi="Times New Roman" w:cs="Times New Roman"/>
          <w:noProof/>
          <w:sz w:val="24"/>
          <w:szCs w:val="24"/>
          <w:lang w:val="en-US"/>
        </w:rPr>
        <w:t>(Thornhill-Miller et al., 2023)</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In addition, teams can work on the same document together using technology (</w:t>
      </w:r>
      <w:proofErr w:type="gramStart"/>
      <w:r w:rsidRPr="00393CD3">
        <w:rPr>
          <w:rFonts w:ascii="Times New Roman" w:hAnsi="Times New Roman" w:cs="Times New Roman"/>
          <w:sz w:val="24"/>
          <w:szCs w:val="24"/>
          <w:lang w:val="en-US"/>
        </w:rPr>
        <w:t>e.g.</w:t>
      </w:r>
      <w:proofErr w:type="gramEnd"/>
      <w:r w:rsidRPr="00393CD3">
        <w:rPr>
          <w:rFonts w:ascii="Times New Roman" w:hAnsi="Times New Roman" w:cs="Times New Roman"/>
          <w:sz w:val="24"/>
          <w:szCs w:val="24"/>
          <w:lang w:val="en-US"/>
        </w:rPr>
        <w:t xml:space="preserve"> Google Documents and Spreadsheets). Thus, students need skills to work together on documents and joint projects beyond the boundaries of time and place </w:t>
      </w:r>
      <w:r>
        <w:rPr>
          <w:rFonts w:ascii="Times New Roman" w:hAnsi="Times New Roman" w:cs="Times New Roman"/>
          <w:sz w:val="24"/>
          <w:szCs w:val="24"/>
          <w:lang w:val="sv-SE"/>
        </w:rPr>
        <w:fldChar w:fldCharType="begin" w:fldLock="1"/>
      </w:r>
      <w:r w:rsidRPr="00393CD3">
        <w:rPr>
          <w:rFonts w:ascii="Times New Roman" w:hAnsi="Times New Roman" w:cs="Times New Roman"/>
          <w:sz w:val="24"/>
          <w:szCs w:val="24"/>
          <w:lang w:val="en-US"/>
        </w:rPr>
        <w:instrText>ADDIN CSL_CITATION {"citationItems":[{"id":"ITEM-1","itemData":{"DOI":"10.9790/7388-0604044044","abstract":"Information and communication technologies (ICT) have become common place entities in all aspects of life. Integrating ICT into teaching and learning is a growing area that has attracted many educators' efforts in recent years. Across the past twenty years the use of ICT has fundamentally changed the practices and procedures of nearly all forms of endeavour within business and governance. Education is a very socially oriented activity and quality education has traditionally been associated with strong teachers having high degrees of personal contact with learners. The use of ICT in education lends itself to more student-centred learning settings. But with the world moving rapidly into digital media and information, the role of ICT in education is becoming more and more important and this importance will continue to grow and develop in the 21st century. Based on the scope of content covered, ICT integration can happen in three different areas: curriculum, topic, and lesson. This paper elaborates upon the concept of ICT integration, effective use of ICT for education with regard to the teaching learning process and ICT to enhance the scholastic performance.","author":[{"dropping-particle":"","family":"Srivastava","given":"Soni","non-dropping-particle":"","p</w:instrText>
      </w:r>
      <w:r w:rsidRPr="00206242">
        <w:rPr>
          <w:rFonts w:ascii="Times New Roman" w:hAnsi="Times New Roman" w:cs="Times New Roman"/>
          <w:sz w:val="24"/>
          <w:szCs w:val="24"/>
          <w:lang w:val="en-US"/>
        </w:rPr>
        <w:instrText>arse-names":false,"suffix":""}],"container-title":"IOSR Journal of Research &amp; Method in Education Ver. IV","id":"ITEM-1","issue":"4","issued":{"date-parts":[["2016"]]},"page":"2320-7388","title":"ICT implementation for Education and Learning","type":"article-journal","volume":"6"},"uris":["http://www.mendeley.com/documents/?uuid=0b0b8fd5-f6c3-4908-8757-ab36072c9031"]}],"mendeley":{"formattedCitation":"(Srivastava, 2016)","plainTextFormattedCitation":"(Srivastava, 2016)","previouslyFormattedCitation":"(Srivastava, 2016)"},"properties":{"noteIndex":0},"schema":"https://github.com/citation-style-language/schema/raw/master/csl-citation.json"}</w:instrText>
      </w:r>
      <w:r>
        <w:rPr>
          <w:rFonts w:ascii="Times New Roman" w:hAnsi="Times New Roman" w:cs="Times New Roman"/>
          <w:sz w:val="24"/>
          <w:szCs w:val="24"/>
          <w:lang w:val="sv-SE"/>
        </w:rPr>
        <w:fldChar w:fldCharType="separate"/>
      </w:r>
      <w:r w:rsidRPr="00206242">
        <w:rPr>
          <w:rFonts w:ascii="Times New Roman" w:hAnsi="Times New Roman" w:cs="Times New Roman"/>
          <w:noProof/>
          <w:sz w:val="24"/>
          <w:szCs w:val="24"/>
          <w:lang w:val="en-US"/>
        </w:rPr>
        <w:t>(Srivastava, 2016)</w:t>
      </w:r>
      <w:r>
        <w:rPr>
          <w:rFonts w:ascii="Times New Roman" w:hAnsi="Times New Roman" w:cs="Times New Roman"/>
          <w:sz w:val="24"/>
          <w:szCs w:val="24"/>
          <w:lang w:val="sv-SE"/>
        </w:rPr>
        <w:fldChar w:fldCharType="end"/>
      </w:r>
      <w:r w:rsidRPr="00393CD3">
        <w:rPr>
          <w:rFonts w:ascii="Times New Roman" w:hAnsi="Times New Roman" w:cs="Times New Roman"/>
          <w:sz w:val="24"/>
          <w:szCs w:val="24"/>
          <w:lang w:val="en-US"/>
        </w:rPr>
        <w:t xml:space="preserve">. </w:t>
      </w:r>
      <w:r w:rsidR="00EB58F8" w:rsidRPr="00EB58F8">
        <w:rPr>
          <w:rFonts w:ascii="Times New Roman" w:hAnsi="Times New Roman" w:cs="Times New Roman"/>
          <w:sz w:val="24"/>
          <w:szCs w:val="24"/>
          <w:lang w:val="en-US"/>
        </w:rPr>
        <w:t>The emergence of various platforms that can be used to collaborate online has an impact on the importance of understanding and managing information together to achieve common goals.</w:t>
      </w:r>
    </w:p>
    <w:p w14:paraId="705DDEDC" w14:textId="3EDB0FDB" w:rsidR="00846F12" w:rsidRDefault="00846F12" w:rsidP="001E3A68">
      <w:pPr>
        <w:spacing w:after="0" w:line="276" w:lineRule="auto"/>
        <w:ind w:firstLine="720"/>
        <w:jc w:val="both"/>
        <w:rPr>
          <w:rFonts w:ascii="Times New Roman" w:hAnsi="Times New Roman" w:cs="Times New Roman"/>
          <w:color w:val="000000" w:themeColor="text1"/>
          <w:sz w:val="24"/>
          <w:szCs w:val="24"/>
          <w:lang w:val="en-US"/>
        </w:rPr>
      </w:pPr>
      <w:r w:rsidRPr="00846F12">
        <w:rPr>
          <w:rFonts w:ascii="Times New Roman" w:hAnsi="Times New Roman" w:cs="Times New Roman"/>
          <w:color w:val="000000" w:themeColor="text1"/>
          <w:sz w:val="24"/>
          <w:szCs w:val="24"/>
          <w:lang w:val="en-US"/>
        </w:rPr>
        <w:t>There are five types of collaborative assessments, including (a) independent reports or group work reports, (b) scale</w:t>
      </w:r>
      <w:r w:rsidR="00C40C7A">
        <w:rPr>
          <w:rFonts w:ascii="Times New Roman" w:hAnsi="Times New Roman" w:cs="Times New Roman"/>
          <w:color w:val="000000" w:themeColor="text1"/>
          <w:sz w:val="24"/>
          <w:szCs w:val="24"/>
          <w:lang w:val="en-US"/>
        </w:rPr>
        <w:t>s</w:t>
      </w:r>
      <w:r w:rsidRPr="00846F12">
        <w:rPr>
          <w:rFonts w:ascii="Times New Roman" w:hAnsi="Times New Roman" w:cs="Times New Roman"/>
          <w:color w:val="000000" w:themeColor="text1"/>
          <w:sz w:val="24"/>
          <w:szCs w:val="24"/>
          <w:lang w:val="en-US"/>
        </w:rPr>
        <w:t xml:space="preserve"> of cooperation, (c) subjective assessments, (d) observations, and (e) performance assessments </w:t>
      </w:r>
      <w:r>
        <w:rPr>
          <w:rFonts w:ascii="Times New Roman" w:hAnsi="Times New Roman" w:cs="Times New Roman"/>
          <w:color w:val="000000" w:themeColor="text1"/>
          <w:sz w:val="24"/>
          <w:szCs w:val="24"/>
          <w:lang w:val="sv-SE"/>
        </w:rPr>
        <w:fldChar w:fldCharType="begin" w:fldLock="1"/>
      </w:r>
      <w:r w:rsidRPr="00393CD3">
        <w:rPr>
          <w:rFonts w:ascii="Times New Roman" w:hAnsi="Times New Roman" w:cs="Times New Roman"/>
          <w:color w:val="000000" w:themeColor="text1"/>
          <w:sz w:val="24"/>
          <w:szCs w:val="24"/>
          <w:lang w:val="en-US"/>
        </w:rPr>
        <w:instrText>ADDIN CSL_CITATION {"citationItems":[{"id":"ITEM-1","itemData":{"abstract":"This purpose of this resource is to support state and local education agencies in identifying reliable and valid instruments that measure collaboration, perseverance, and self-regulated learning among secondary school students. This resource, developed by the Regional Education Laboratory Northeast &amp; Islands in collaboration with its Social and Emotional Learning Alliance, presents social and emotional learning instruments and the reliability and validity information available for those instruments. Specifically, this resource indicates whether psychometric information was available for reliability and seven components of validity--content, substantive, structural, external, generalizability, consequential, and fairness. To identify and review instruments, researchers conducted a literature search, determined the eligibility of instruments, reviewed the reliability and validity information available for eligible instruments; and determined whether the reliability and validity information provided met conventionally accepted criteria. In total, 17 instruments were eligible for inclusion in the resource. Eligible instruments included six measures of collaboration, four measures of perseverance, four measures of self-regulated learning, and three measures of both perseverance and self-regulated learning. With 12 instruments developed for use in research and 5 instruments developed for formative instruction, practitioners should use caution when using any measure for summative use that has not been developed and validated for that specific purpose. With schools and districts ramping up their efforts to measure social and emotional learning for formative and summative use, practitioners would benefit from the development of additional measures for these specific purposes. Among the 17 instruments eligible for inclusion in this resource, 16 instruments have information on reliability and at least one component of validity. The component of validity most commonly available for eligible instruments was content validity whereas only three instruments had information on fairness and no instruments had information on substantive validity. Practitioners should use caution when using instruments that lack information on substantive validity or fairness, since these measures may not be appropriate for all students that are evaluated.","author":[{"dropping-particle":"","family":"Cox","given":"Joshua","non-dropping-particle":"","parse-names":false,"suffix":""},{"dropping-particle":"","family":"Foster","given":"Brandon","non-dropping-particle":"","parse-names":false,"suffix":""},{"dropping-particle":"","family":"Bamat","given":"David","non-dropping-particle":"","parse-names":false,"suffix":""}],"id":</w:instrText>
      </w:r>
      <w:r w:rsidRPr="00206242">
        <w:rPr>
          <w:rFonts w:ascii="Times New Roman" w:hAnsi="Times New Roman" w:cs="Times New Roman"/>
          <w:color w:val="000000" w:themeColor="text1"/>
          <w:sz w:val="24"/>
          <w:szCs w:val="24"/>
          <w:lang w:val="en-US"/>
        </w:rPr>
        <w:instrText>"ITEM-1","issued":{"date-parts":[["2019"]]},"publisher":"U.S. Department of Education, Institute of Education Sciences, National Center for Edu ­ cation Evaluation and Regional Assistance, Regional Educational Laboratory Northeast &amp; Islands","publisher-place":"Washington, DC","title":"A Review of Instruments for Measuring Social and Emotional Learning Skills among Secondary School Students. REL 2020-010","type":"book"},"uris":["http://www.mendeley.com/documents/?uuid=94eb3599-478d-492b-a836-bc9795eb3352"]}],"mendeley":{"formattedCitation":"(Cox et al., 2019)","plainTextFormattedCitation":"(Cox et al., 2019)","previouslyFormattedCitation":"(Cox et al., 2019)"},"properties":{"noteIndex":0},"schema":"https://github.com/citation-style-language/schema/raw/master/csl-citation.json"}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206242">
        <w:rPr>
          <w:rFonts w:ascii="Times New Roman" w:hAnsi="Times New Roman" w:cs="Times New Roman"/>
          <w:noProof/>
          <w:color w:val="000000" w:themeColor="text1"/>
          <w:sz w:val="24"/>
          <w:szCs w:val="24"/>
          <w:lang w:val="en-US"/>
        </w:rPr>
        <w:t>(Cox et al., 2019)</w:t>
      </w:r>
      <w:r>
        <w:rPr>
          <w:rFonts w:ascii="Times New Roman" w:hAnsi="Times New Roman" w:cs="Times New Roman"/>
          <w:color w:val="000000" w:themeColor="text1"/>
          <w:sz w:val="24"/>
          <w:szCs w:val="24"/>
          <w:lang w:val="sv-SE"/>
        </w:rPr>
        <w:fldChar w:fldCharType="end"/>
      </w:r>
      <w:r w:rsidRPr="00846F12">
        <w:rPr>
          <w:rFonts w:ascii="Times New Roman" w:hAnsi="Times New Roman" w:cs="Times New Roman"/>
          <w:color w:val="000000" w:themeColor="text1"/>
          <w:sz w:val="24"/>
          <w:szCs w:val="24"/>
          <w:lang w:val="en-US"/>
        </w:rPr>
        <w:t xml:space="preserve">. This type of collaborative assessment generally ranges from less standardized to more standardized, and the level of standardization is related to the intended use of the assessment information. For example, less standardized types of assessment, such as self-reports or peer reports. In contrast, standard assessments, for example, subjective assessment tests and observations. Observational assessment is carried out through the observer assessing individuals who work in a group. The benefit of using this type of assessment is that it is based on actual student </w:t>
      </w:r>
      <w:r w:rsidR="00C40C7A" w:rsidRPr="00C40C7A">
        <w:rPr>
          <w:rFonts w:ascii="Times New Roman" w:hAnsi="Times New Roman" w:cs="Times New Roman"/>
          <w:color w:val="000000" w:themeColor="text1"/>
          <w:sz w:val="24"/>
          <w:szCs w:val="24"/>
          <w:lang w:val="en-US"/>
        </w:rPr>
        <w:t>behavior</w:t>
      </w:r>
      <w:r w:rsidRPr="00846F12">
        <w:rPr>
          <w:rFonts w:ascii="Times New Roman" w:hAnsi="Times New Roman" w:cs="Times New Roman"/>
          <w:color w:val="000000" w:themeColor="text1"/>
          <w:sz w:val="24"/>
          <w:szCs w:val="24"/>
          <w:lang w:val="en-US"/>
        </w:rPr>
        <w:t>, either verbal or non-verbal.</w:t>
      </w:r>
    </w:p>
    <w:p w14:paraId="5DCD0F1E" w14:textId="78D0842B" w:rsidR="00846F12" w:rsidRPr="00846F12" w:rsidRDefault="00846F12" w:rsidP="001E3A68">
      <w:pPr>
        <w:spacing w:after="0" w:line="276" w:lineRule="auto"/>
        <w:ind w:firstLine="720"/>
        <w:jc w:val="both"/>
        <w:rPr>
          <w:rFonts w:ascii="Times New Roman" w:hAnsi="Times New Roman" w:cs="Times New Roman"/>
          <w:color w:val="000000" w:themeColor="text1"/>
          <w:sz w:val="24"/>
          <w:szCs w:val="24"/>
          <w:lang w:val="en-US"/>
        </w:rPr>
      </w:pPr>
      <w:r w:rsidRPr="00846F12">
        <w:rPr>
          <w:rFonts w:ascii="Times New Roman" w:hAnsi="Times New Roman" w:cs="Times New Roman"/>
          <w:color w:val="000000" w:themeColor="text1"/>
          <w:sz w:val="24"/>
          <w:szCs w:val="24"/>
          <w:lang w:val="en-US"/>
        </w:rPr>
        <w:t xml:space="preserve">Previous research has defined the construct of collaboration skills. For example, the Organization for Economic Co-Operation and Development developed a collaboration skills framework. PISA identifies a collaboration skills framework consisting of three core competencies: building and maintaining shared understanding, taking appropriate action to solve problems, and building and maintaining team organizations. According to </w:t>
      </w:r>
      <w:r>
        <w:rPr>
          <w:rFonts w:ascii="Times New Roman" w:hAnsi="Times New Roman" w:cs="Times New Roman"/>
          <w:color w:val="000000" w:themeColor="text1"/>
          <w:sz w:val="24"/>
          <w:szCs w:val="24"/>
          <w:lang w:val="en-US"/>
        </w:rPr>
        <w:fldChar w:fldCharType="begin" w:fldLock="1"/>
      </w:r>
      <w:r w:rsidR="00BB7A14">
        <w:rPr>
          <w:rFonts w:ascii="Times New Roman" w:hAnsi="Times New Roman" w:cs="Times New Roman"/>
          <w:color w:val="000000" w:themeColor="text1"/>
          <w:sz w:val="24"/>
          <w:szCs w:val="24"/>
          <w:lang w:val="en-US"/>
        </w:rPr>
        <w:instrText>ADDIN CSL_CITATION {"citationItems":[{"id":"ITEM-1","itemData":{"ISBN":"9789400723238","abstract":"ATC21S is a system enabling formative assessment of Collaborative Problem Solving. ATC21S™ has been designed to support the development of social and cognitive skills needed to become a good collaborative problem solver","author":[{"dropping-particle":"","family":"Binkley","given":"Marilyn","non-dropping-particle":"","parse-names":false,"suffix":""},{"dropping-particle":"","family":"Erstad","given":"Ola","non-dropping-particle":"","parse-names":false,"suffix":""},{"dropping-particle":"","family":"Herman","given":"Joan","non-dropping-particle":"","parse-names":false,"suffix":""},{"dropping-particle":"","family":"Ripley","given":"Martin","non-dropping-particle":"","parse-names":false,"suffix":""},{"dropping-particle":"","family":"Rumble","given":"Mike","non-dropping-particle":"","parse-names":false,"suffix":""},{"dropping-particle":"","family":"Miller-Ricci","given":"May","non-dropping-particle":"","parse-names":false,"suffix":""}],"container-title":"Griffin, P., McGaw, B., Care, E. (eds) Assessment and Teaching of 21st Century Skills","id":"ITEM-1","issued":{"date-parts":[["2012"]]},"publisher":"Springer","title":"Assessment and Teaching of 21st Century Skills (ATC21S)","type":"chapter"},"uris":["http://www.mendeley.com/documents/?uuid=071a4e68-77bc-4097-a243-d607967e68c1"]}],"mendeley":{"formattedCitation":"(Binkley et al., 2012)","plainTextFormattedCitation":"(Binkley et al., 2012)","previouslyFormattedCitation":"(Binkley et al., 2012)"},"properties":{"noteIndex":0},"schema":"https://github.com/citation-style-language/schema/raw/master/csl-citation.json"}</w:instrText>
      </w:r>
      <w:r>
        <w:rPr>
          <w:rFonts w:ascii="Times New Roman" w:hAnsi="Times New Roman" w:cs="Times New Roman"/>
          <w:color w:val="000000" w:themeColor="text1"/>
          <w:sz w:val="24"/>
          <w:szCs w:val="24"/>
          <w:lang w:val="en-US"/>
        </w:rPr>
        <w:fldChar w:fldCharType="separate"/>
      </w:r>
      <w:r w:rsidRPr="00846F12">
        <w:rPr>
          <w:rFonts w:ascii="Times New Roman" w:hAnsi="Times New Roman" w:cs="Times New Roman"/>
          <w:noProof/>
          <w:color w:val="000000" w:themeColor="text1"/>
          <w:sz w:val="24"/>
          <w:szCs w:val="24"/>
          <w:lang w:val="en-US"/>
        </w:rPr>
        <w:t>(Binkley et al., 2012)</w:t>
      </w:r>
      <w:r>
        <w:rPr>
          <w:rFonts w:ascii="Times New Roman" w:hAnsi="Times New Roman" w:cs="Times New Roman"/>
          <w:color w:val="000000" w:themeColor="text1"/>
          <w:sz w:val="24"/>
          <w:szCs w:val="24"/>
          <w:lang w:val="en-US"/>
        </w:rPr>
        <w:fldChar w:fldCharType="end"/>
      </w:r>
      <w:r w:rsidRPr="00846F12">
        <w:rPr>
          <w:rFonts w:ascii="Times New Roman" w:hAnsi="Times New Roman" w:cs="Times New Roman"/>
          <w:color w:val="000000" w:themeColor="text1"/>
          <w:sz w:val="24"/>
          <w:szCs w:val="24"/>
          <w:lang w:val="en-US"/>
        </w:rPr>
        <w:t xml:space="preserve">, collaboration is a way of working consisting of knowledge, skills, attitudes/values/ethics with four sub-skills, namely (1) interacting effectively with others, (2) working effectively in diverse teams, (3) managing projects, and (4) </w:t>
      </w:r>
      <w:r w:rsidR="00C40C7A" w:rsidRPr="00C40C7A">
        <w:rPr>
          <w:rFonts w:ascii="Times New Roman" w:hAnsi="Times New Roman" w:cs="Times New Roman"/>
          <w:color w:val="000000" w:themeColor="text1"/>
          <w:sz w:val="24"/>
          <w:szCs w:val="24"/>
          <w:lang w:val="en-US"/>
        </w:rPr>
        <w:t xml:space="preserve">mentoring and leading </w:t>
      </w:r>
      <w:r w:rsidRPr="00846F12">
        <w:rPr>
          <w:rFonts w:ascii="Times New Roman" w:hAnsi="Times New Roman" w:cs="Times New Roman"/>
          <w:color w:val="000000" w:themeColor="text1"/>
          <w:sz w:val="24"/>
          <w:szCs w:val="24"/>
          <w:lang w:val="en-US"/>
        </w:rPr>
        <w:t>others; respond to others.</w:t>
      </w:r>
    </w:p>
    <w:p w14:paraId="21F9A29F" w14:textId="4F377743" w:rsidR="00846F12" w:rsidRPr="00846F12" w:rsidRDefault="0003041F" w:rsidP="0003041F">
      <w:pPr>
        <w:spacing w:after="0" w:line="276" w:lineRule="auto"/>
        <w:ind w:firstLine="720"/>
        <w:jc w:val="both"/>
        <w:rPr>
          <w:rFonts w:ascii="Times New Roman" w:hAnsi="Times New Roman" w:cs="Times New Roman"/>
          <w:color w:val="000000" w:themeColor="text1"/>
          <w:sz w:val="24"/>
          <w:szCs w:val="24"/>
          <w:lang w:val="en-US"/>
        </w:rPr>
      </w:pPr>
      <w:r w:rsidRPr="0003041F">
        <w:rPr>
          <w:rFonts w:ascii="Times New Roman" w:hAnsi="Times New Roman" w:cs="Times New Roman"/>
          <w:color w:val="000000" w:themeColor="text1"/>
          <w:sz w:val="24"/>
          <w:szCs w:val="24"/>
          <w:lang w:val="en-US"/>
        </w:rPr>
        <w:t xml:space="preserve">Other research divides collaboration into three dimensions: social interdependence, interpersonal skills, and task-related processes. Precisely, collaboration consists of knowledge, skills, and attitudes. (1) Interact with others and communicate clearly. (2) Having social self-regulation, namely knowing when to speak or listen. (3) Working together in a team (team management). (4) Convey original ideas or ideas. (5) Ability to provide input to the team to achieve common goals. (6) Ability to be responsible. (7) Perspective taking. (8) Evaluating tasks and responsibilities within the team </w:t>
      </w:r>
      <w:r>
        <w:rPr>
          <w:rFonts w:ascii="Times New Roman" w:hAnsi="Times New Roman" w:cs="Times New Roman"/>
          <w:color w:val="000000" w:themeColor="text1"/>
          <w:sz w:val="24"/>
          <w:szCs w:val="24"/>
          <w:lang w:val="sv-SE"/>
        </w:rPr>
        <w:fldChar w:fldCharType="begin" w:fldLock="1"/>
      </w:r>
      <w:r w:rsidRPr="00846F12">
        <w:rPr>
          <w:rFonts w:ascii="Times New Roman" w:hAnsi="Times New Roman" w:cs="Times New Roman"/>
          <w:color w:val="000000" w:themeColor="text1"/>
          <w:sz w:val="24"/>
          <w:szCs w:val="24"/>
          <w:lang w:val="en-US"/>
        </w:rPr>
        <w:instrText>ADDIN CSL_CITATION {"citationItems":[{"id":"ITEM-1","itemData":{"abstract":"There has been a major shift in educational learning goals—as seen most recently by Goal 4.7 of the Sustainable Development Goals—focused on global citizenship education and education for sustainable development. The shift concerns recognition of the need for education systems to equip learners with competencies such as problem-solving, collaboration, critical thinking, and communication. The focus on these “21st century goals” is visible in education and curricular reform, and has been promoted by global discussion of changing work and societal needs. This paper describes global, regional, and national examples of this shift, and then focuses on implementation challenges. The paper focuses most explicitly on the issue of assessment but asserts that any major reform in an educational philosophy shift must ensure alignment across the areas of curriculum, pedagogy, and assessment. The paper identifies several challenges to implementation of this educational shift. These include the need for clear understanding of the necessary skills—beyond mere identification of definition and description. This is essential if education systems are to reform curricula to integrate the new learning goals that the skills imply. A second challenge is the need for clear descriptions of what different levels of competencies in skills might look like. Although a few education systems have developed early frameworks which include increasing levels of competency, there are no generic examples that describe how some of these skills “progress.” Such descriptions would enable teachers to know what to reasonably expect of a child in the early years of elementary school versus of a child in later years in terms of collaborative behavior or critical thinking. A third challenge lies in the obstacles that these first two hurdles pose to the development of assessments of 21st century skills (21CS). Without an absolutely clear understanding of a learning domain, or “construct,” designing assessment frameworks and tasks are impossible. Without an understanding of what increasing levels of competency in a skill look like, it is not possible to draft the assessment tasks that will target different levels.","author":[{"dropping-particle":"","family":"Care","given":"Esther","non-dropping-particle":"","parse-names":false,"suffix":""},{"dropping-particle":"","family":"Kim","given":"Helyn","non-dropping-particle":"","parse-names":false,"suffix":""},{"dropping-particle":"","family":"Vista","given":"Alvin","non-dropping-particle":"","parse-names":false,"suffix":""},{"dropping-particle":"","family":"Anderson","given":"Kate","non-dropping-particle":"","parse-names":false,"suffix":""}],"container-title":"Center for Universal Education at the Brookings Institution.","id":"ITEM-1","issued":{"date-parts":[["2018"]]},"publisher":"Brookings Institute","publisher-place":"Washington, DC","title":"Education system alignment for 21st century skills: Focus on assessment","type":"book"},"uris":["http://www.mendeley.com/documents/?uuid=2ac2c9c3-b5cd-4492-b466-4efc3c3a70aa"]}],"mendeley":{"formattedCitation":"(Care et al., 2018)","plainTextFormattedCitation":"(Care et al., 2018)","previouslyFormattedCitation":"(Care et al., 2018)"},"properties":{"noteIndex":0},"schema":"https://github.com/citation-style-language/schema/raw/master/csl-citation.json"}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846F12">
        <w:rPr>
          <w:rFonts w:ascii="Times New Roman" w:hAnsi="Times New Roman" w:cs="Times New Roman"/>
          <w:noProof/>
          <w:color w:val="000000" w:themeColor="text1"/>
          <w:sz w:val="24"/>
          <w:szCs w:val="24"/>
          <w:lang w:val="en-US"/>
        </w:rPr>
        <w:t>(Care et al., 2018)</w:t>
      </w:r>
      <w:r>
        <w:rPr>
          <w:rFonts w:ascii="Times New Roman" w:hAnsi="Times New Roman" w:cs="Times New Roman"/>
          <w:color w:val="000000" w:themeColor="text1"/>
          <w:sz w:val="24"/>
          <w:szCs w:val="24"/>
          <w:lang w:val="sv-SE"/>
        </w:rPr>
        <w:fldChar w:fldCharType="end"/>
      </w:r>
      <w:r w:rsidRPr="0003041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846F12" w:rsidRPr="00846F12">
        <w:rPr>
          <w:rFonts w:ascii="Times New Roman" w:hAnsi="Times New Roman" w:cs="Times New Roman"/>
          <w:color w:val="000000" w:themeColor="text1"/>
          <w:sz w:val="24"/>
          <w:szCs w:val="24"/>
          <w:lang w:val="en-US"/>
        </w:rPr>
        <w:t xml:space="preserve">The framework above is also relevant to the collaboration framework built by </w:t>
      </w:r>
      <w:r w:rsidR="00846F12">
        <w:rPr>
          <w:rFonts w:ascii="Times New Roman" w:hAnsi="Times New Roman" w:cs="Times New Roman"/>
          <w:color w:val="000000" w:themeColor="text1"/>
          <w:sz w:val="24"/>
          <w:szCs w:val="24"/>
          <w:lang w:val="sv-SE"/>
        </w:rPr>
        <w:fldChar w:fldCharType="begin" w:fldLock="1"/>
      </w:r>
      <w:r w:rsidR="00846F12" w:rsidRPr="00846F12">
        <w:rPr>
          <w:rFonts w:ascii="Times New Roman" w:hAnsi="Times New Roman" w:cs="Times New Roman"/>
          <w:color w:val="000000" w:themeColor="text1"/>
          <w:sz w:val="24"/>
          <w:szCs w:val="24"/>
          <w:lang w:val="en-US"/>
        </w:rPr>
        <w:instrText>ADDIN CSL_CITATION {"citationItems":[{"id":"ITEM-1","itemData":{"DOI":"10.1186/s40594-017-0094-z","ISSN":"21967822","abstract":"Background: The shortage of skilled workers choosing STEM (Science, Technology, Engineering, and Math) careers in the USA and worldwide has fueled a movement towards STEAM, in which the “A” addresses the arts and humanities. STEAM education has been proposed as a way to offer relevant problems to solve while drawing on creative and collaborative skills to increase interest and engagement in these fields. Despite the interest in increasing STEAM globally, research on the efficacy of instructional approaches, including ways to assess collaborative problem solving (CPS), is lacking. Results: This paper reports the development of a rubric, named Co-Measure, for researchers and educators to use to assess student collaboration, at the individual level, when students are working in K-12 STEAM activities. Our project team provides the rationale, process, validation, initial iterations to the rubric, and next steps to inform STEM researchers and move STEAM instruction and learning forward. A final rubric is provided and made freely available to researchers and educators. Conclusions: As STEAM education gains popularity in K-12 schools, assessment of student collaboration is needed to identify the dimensions of the skill in order to provide appropriate problem solving opportunities within instruction. The assessment is also needed to adjust instruction when students are not offered opportunities to work collaboratively during STEAM activities. Utilizing existing generalized frameworks of CPS provided the initial guide to direct research specific to CPS in STEAM activities. Using an iterative process to identify and evaluate attributes of student behavior associated with CPS in STEAM classrooms by a project team comprised of learning scientists, educational researchers and psychometricians allowed for rigorous research while drawing on appropriate expertise. Co-Measure has the potential to be modified and broadly extended to assess CPS in elementary and post-secondary classrooms using STEAM instructional practices.","author":[{"dropping-particle":"","family":"Herro","given":"Danielle","non-dropping-particle":"","parse-names":false,"suffix":""},{"dropping-particle":"","family":"Quigley","given":"Cassie","non-dropping-particle":"","parse-names":false,"suffix":""},{"dropping-particle":"","family":"Andrews","given":"Jessica","non-dropping-particle":"","parse-names":false,"suffix":""},{"dropping-particle":"","family":"Delacruz","given":"Girlie","non-dropping-particle":"","parse-names":false,"suffix":""}],"container-title":"International Journal of STEM Education","id":"ITEM-1","issue":"1","issued":{"date-parts":[["2017"]]},"publisher":"International Journal of STEM Education","title":"Co-Measure: developing an assessment for student collaboration in STEAM activities","type":"article-journal","volume":"4"},"uris":["http://www.mendeley.com/documents/?uuid=802288a2-09f8-4fb5-9a3f-1c07eefeab68"]}],"mendeley":{"formattedCitation":"(Herro et al., 2017)","manualFormatting":"Herro et al. (2017)","plainTextFormattedCitation":"(Herro et al., 2017)","previouslyFormattedCitation":"(Herro et al., 2017)"},"properties":{"noteIndex":0},"schema":"https://github.com/citation-style-language/schema/raw/master/csl-citation.json"}</w:instrText>
      </w:r>
      <w:r w:rsidR="00846F12">
        <w:rPr>
          <w:rFonts w:ascii="Times New Roman" w:hAnsi="Times New Roman" w:cs="Times New Roman"/>
          <w:color w:val="000000" w:themeColor="text1"/>
          <w:sz w:val="24"/>
          <w:szCs w:val="24"/>
          <w:lang w:val="sv-SE"/>
        </w:rPr>
        <w:fldChar w:fldCharType="separate"/>
      </w:r>
      <w:r w:rsidR="00846F12" w:rsidRPr="00846F12">
        <w:rPr>
          <w:rFonts w:ascii="Times New Roman" w:hAnsi="Times New Roman" w:cs="Times New Roman"/>
          <w:noProof/>
          <w:color w:val="000000" w:themeColor="text1"/>
          <w:sz w:val="24"/>
          <w:szCs w:val="24"/>
          <w:lang w:val="en-US"/>
        </w:rPr>
        <w:t>Herro et al. (2017)</w:t>
      </w:r>
      <w:r w:rsidR="00846F12">
        <w:rPr>
          <w:rFonts w:ascii="Times New Roman" w:hAnsi="Times New Roman" w:cs="Times New Roman"/>
          <w:color w:val="000000" w:themeColor="text1"/>
          <w:sz w:val="24"/>
          <w:szCs w:val="24"/>
          <w:lang w:val="sv-SE"/>
        </w:rPr>
        <w:fldChar w:fldCharType="end"/>
      </w:r>
      <w:r w:rsidR="00846F12" w:rsidRPr="00846F12">
        <w:rPr>
          <w:rFonts w:ascii="Times New Roman" w:hAnsi="Times New Roman" w:cs="Times New Roman"/>
          <w:color w:val="000000" w:themeColor="text1"/>
          <w:sz w:val="24"/>
          <w:szCs w:val="24"/>
          <w:lang w:val="en-US"/>
        </w:rPr>
        <w:t>, which explains that there are five main aspects of collaboration skills: group interaction, positive communication, lots of questions/solutions, authentic approaches and assignments, and transdisciplinary thinking. The explanation above is a framework for traditional collaboration skills that have been researched. As for digital collaboration skills, the difference is the use of ICT in collaborative activities.</w:t>
      </w:r>
    </w:p>
    <w:p w14:paraId="0403EF86" w14:textId="6BF28BAF" w:rsidR="001E3A68" w:rsidRPr="007762FE" w:rsidRDefault="001E3A68" w:rsidP="001E3A68">
      <w:pPr>
        <w:spacing w:after="0" w:line="276" w:lineRule="auto"/>
        <w:rPr>
          <w:rStyle w:val="fontstyle21"/>
          <w:rFonts w:ascii="Times New Roman" w:hAnsi="Times New Roman" w:cs="Times New Roman"/>
          <w:b/>
          <w:bCs/>
          <w:sz w:val="24"/>
          <w:szCs w:val="24"/>
        </w:rPr>
      </w:pPr>
      <w:r w:rsidRPr="007762FE">
        <w:rPr>
          <w:rStyle w:val="fontstyle01"/>
          <w:rFonts w:ascii="Times New Roman" w:hAnsi="Times New Roman" w:cs="Times New Roman"/>
          <w:b w:val="0"/>
          <w:bCs w:val="0"/>
          <w:sz w:val="24"/>
          <w:szCs w:val="24"/>
        </w:rPr>
        <w:t>3.</w:t>
      </w:r>
      <w:r w:rsidRPr="00206242">
        <w:rPr>
          <w:rStyle w:val="fontstyle01"/>
          <w:rFonts w:ascii="Times New Roman" w:hAnsi="Times New Roman" w:cs="Times New Roman"/>
          <w:b w:val="0"/>
          <w:bCs w:val="0"/>
          <w:sz w:val="24"/>
          <w:szCs w:val="24"/>
          <w:lang w:val="en-US"/>
        </w:rPr>
        <w:t>1</w:t>
      </w:r>
      <w:r w:rsidRPr="007762FE">
        <w:rPr>
          <w:rStyle w:val="fontstyle01"/>
          <w:rFonts w:ascii="Times New Roman" w:hAnsi="Times New Roman" w:cs="Times New Roman"/>
          <w:b w:val="0"/>
          <w:bCs w:val="0"/>
          <w:sz w:val="24"/>
          <w:szCs w:val="24"/>
        </w:rPr>
        <w:t>.</w:t>
      </w:r>
      <w:r w:rsidRPr="00206242">
        <w:rPr>
          <w:rStyle w:val="fontstyle01"/>
          <w:rFonts w:ascii="Times New Roman" w:hAnsi="Times New Roman" w:cs="Times New Roman"/>
          <w:b w:val="0"/>
          <w:bCs w:val="0"/>
          <w:sz w:val="24"/>
          <w:szCs w:val="24"/>
          <w:lang w:val="en-US"/>
        </w:rPr>
        <w:t>3</w:t>
      </w:r>
      <w:r w:rsidRPr="007762FE">
        <w:rPr>
          <w:rStyle w:val="fontstyle01"/>
          <w:rFonts w:ascii="Times New Roman" w:hAnsi="Times New Roman" w:cs="Times New Roman"/>
          <w:b w:val="0"/>
          <w:bCs w:val="0"/>
          <w:sz w:val="24"/>
          <w:szCs w:val="24"/>
        </w:rPr>
        <w:t xml:space="preserve">. </w:t>
      </w:r>
      <w:r w:rsidR="005263BD" w:rsidRPr="00206242">
        <w:rPr>
          <w:rFonts w:ascii="Times New Roman" w:hAnsi="Times New Roman" w:cs="Times New Roman"/>
          <w:sz w:val="24"/>
          <w:szCs w:val="24"/>
          <w:lang w:val="en-US"/>
        </w:rPr>
        <w:t>Creative Digital Skills</w:t>
      </w:r>
    </w:p>
    <w:p w14:paraId="1640EDF0" w14:textId="72AC8420" w:rsidR="00846F12" w:rsidRPr="00846F12" w:rsidRDefault="00846F12" w:rsidP="001E3A68">
      <w:pPr>
        <w:spacing w:after="0" w:line="276" w:lineRule="auto"/>
        <w:ind w:firstLine="720"/>
        <w:jc w:val="both"/>
        <w:rPr>
          <w:rFonts w:ascii="Times New Roman" w:hAnsi="Times New Roman" w:cs="Times New Roman"/>
          <w:sz w:val="24"/>
          <w:szCs w:val="24"/>
          <w:lang w:val="en-US"/>
        </w:rPr>
      </w:pPr>
      <w:r w:rsidRPr="00846F12">
        <w:rPr>
          <w:rFonts w:ascii="Times New Roman" w:hAnsi="Times New Roman" w:cs="Times New Roman"/>
          <w:sz w:val="24"/>
          <w:szCs w:val="24"/>
          <w:lang w:val="en-US"/>
        </w:rPr>
        <w:lastRenderedPageBreak/>
        <w:t xml:space="preserve">ICT can support creativity in various ways, </w:t>
      </w:r>
      <w:r w:rsidR="00C40C7A" w:rsidRPr="00C40C7A">
        <w:rPr>
          <w:rFonts w:ascii="Times New Roman" w:hAnsi="Times New Roman" w:cs="Times New Roman"/>
          <w:sz w:val="24"/>
          <w:szCs w:val="24"/>
          <w:lang w:val="en-US"/>
        </w:rPr>
        <w:t xml:space="preserve">including by </w:t>
      </w:r>
      <w:r w:rsidRPr="00846F12">
        <w:rPr>
          <w:rFonts w:ascii="Times New Roman" w:hAnsi="Times New Roman" w:cs="Times New Roman"/>
          <w:sz w:val="24"/>
          <w:szCs w:val="24"/>
          <w:lang w:val="en-US"/>
        </w:rPr>
        <w:t xml:space="preserve">developing and creating or realizing ideas </w:t>
      </w:r>
      <w:r>
        <w:rPr>
          <w:rFonts w:ascii="Times New Roman" w:hAnsi="Times New Roman" w:cs="Times New Roman"/>
          <w:sz w:val="24"/>
          <w:szCs w:val="24"/>
          <w:lang w:val="sv-SE"/>
        </w:rPr>
        <w:fldChar w:fldCharType="begin" w:fldLock="1"/>
      </w:r>
      <w:r w:rsidRPr="00846F12">
        <w:rPr>
          <w:rFonts w:ascii="Times New Roman" w:hAnsi="Times New Roman" w:cs="Times New Roman"/>
          <w:sz w:val="24"/>
          <w:szCs w:val="24"/>
          <w:lang w:val="en-US"/>
        </w:rPr>
        <w:instrText>ADDIN CSL_CITATION {"citationItems":[{"id":"ITEM-1","itemData":{"DOI":"10.1007/978-3-319-95059-4","ISBN":"9783319950594","abstract":"Predicting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Pr>
          <w:rFonts w:ascii="Times New Roman" w:hAnsi="Times New Roman" w:cs="Times New Roman"/>
          <w:sz w:val="24"/>
          <w:szCs w:val="24"/>
          <w:lang w:val="sv-SE"/>
        </w:rPr>
        <w:instrText>α</w:instrText>
      </w:r>
      <w:r w:rsidRPr="00846F12">
        <w:rPr>
          <w:rFonts w:ascii="Times New Roman" w:hAnsi="Times New Roman" w:cs="Times New Roman"/>
          <w:sz w:val="24"/>
          <w:szCs w:val="24"/>
          <w:lang w:val="en-US"/>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approach.","author":[{"dropping-particle":"","family":"Nikolopoulou","given":"Kleopatra","non-dropping-particle":"","parse-names":false,"suffix":""}],"container-title":"Research on e-Learning and ICT in Education","id":"ITEM-1","issued":{"date-parts":[["2018"]]},"publisher":"Springer","title":"Creativity and ICT: Theoretical Approaches and Perspectives in School Education","type":"chapter"},"uris":["http://www.mendeley.com/documents/?uuid=7f1ebf62-f46e-4769-91bc-b1de6702a179"]}],"mendeley":{"formattedCitation":"(Nikolopoulou, 2018)","plainTextFormattedCitation":"(Nikolopoulou, 2018)","previouslyFormattedCitation":"(Nikolopoulou, 2018)"},"properties":{"noteIndex":0},"schema":"https://github.com/citation-style-language/schema/raw/master/csl-citation.json"}</w:instrText>
      </w:r>
      <w:r>
        <w:rPr>
          <w:rFonts w:ascii="Times New Roman" w:hAnsi="Times New Roman" w:cs="Times New Roman"/>
          <w:sz w:val="24"/>
          <w:szCs w:val="24"/>
          <w:lang w:val="sv-SE"/>
        </w:rPr>
        <w:fldChar w:fldCharType="separate"/>
      </w:r>
      <w:r w:rsidRPr="00846F12">
        <w:rPr>
          <w:rFonts w:ascii="Times New Roman" w:hAnsi="Times New Roman" w:cs="Times New Roman"/>
          <w:noProof/>
          <w:sz w:val="24"/>
          <w:szCs w:val="24"/>
          <w:lang w:val="en-US"/>
        </w:rPr>
        <w:t>(Nikolopoulou, 2018)</w:t>
      </w:r>
      <w:r>
        <w:rPr>
          <w:rFonts w:ascii="Times New Roman" w:hAnsi="Times New Roman" w:cs="Times New Roman"/>
          <w:sz w:val="24"/>
          <w:szCs w:val="24"/>
          <w:lang w:val="sv-SE"/>
        </w:rPr>
        <w:fldChar w:fldCharType="end"/>
      </w:r>
      <w:r w:rsidRPr="00846F12">
        <w:rPr>
          <w:rFonts w:ascii="Times New Roman" w:hAnsi="Times New Roman" w:cs="Times New Roman"/>
          <w:sz w:val="24"/>
          <w:szCs w:val="24"/>
          <w:lang w:val="en-US"/>
        </w:rPr>
        <w:t xml:space="preserve">. The digital environment allows students to assess various design concepts, experiences and ideas. Online content creation uses online spaces to create learning content, including </w:t>
      </w:r>
      <w:r w:rsidR="00C40C7A" w:rsidRPr="00C40C7A">
        <w:rPr>
          <w:rFonts w:ascii="Times New Roman" w:hAnsi="Times New Roman" w:cs="Times New Roman"/>
          <w:sz w:val="24"/>
          <w:szCs w:val="24"/>
          <w:lang w:val="en-US"/>
        </w:rPr>
        <w:t xml:space="preserve">blogging </w:t>
      </w:r>
      <w:r w:rsidRPr="00846F12">
        <w:rPr>
          <w:rFonts w:ascii="Times New Roman" w:hAnsi="Times New Roman" w:cs="Times New Roman"/>
          <w:sz w:val="24"/>
          <w:szCs w:val="24"/>
          <w:lang w:val="en-US"/>
        </w:rPr>
        <w:t>and sharing photos and videos. Creating content that supports understanding in learning is a common creative practice, where creativity determines whether others successfully receive content created online. Creativity can also be raised by using digital applications in science learning, such as PHET and scratch. Students with good digital creativity can explore these digital applications independently to build their understanding.</w:t>
      </w:r>
    </w:p>
    <w:p w14:paraId="2C5A51FE" w14:textId="1212A951" w:rsidR="00846F12" w:rsidRPr="00206242" w:rsidRDefault="00846F12" w:rsidP="001E3A68">
      <w:pPr>
        <w:spacing w:after="0" w:line="276" w:lineRule="auto"/>
        <w:ind w:firstLine="720"/>
        <w:jc w:val="both"/>
        <w:rPr>
          <w:rFonts w:ascii="Times New Roman" w:hAnsi="Times New Roman" w:cs="Times New Roman"/>
          <w:sz w:val="24"/>
          <w:szCs w:val="24"/>
          <w:lang w:val="en-US"/>
        </w:rPr>
      </w:pPr>
      <w:r w:rsidRPr="00846F12">
        <w:rPr>
          <w:rFonts w:ascii="Times New Roman" w:hAnsi="Times New Roman" w:cs="Times New Roman"/>
          <w:sz w:val="24"/>
          <w:szCs w:val="24"/>
          <w:lang w:val="en-US"/>
        </w:rPr>
        <w:t xml:space="preserve">Experts explain several definitions of creativity. Creativity has been seen as the ability to generate valuable ideas </w:t>
      </w:r>
      <w:r w:rsidRPr="00144504">
        <w:rPr>
          <w:rFonts w:ascii="Times New Roman" w:hAnsi="Times New Roman" w:cs="Times New Roman"/>
          <w:sz w:val="24"/>
          <w:szCs w:val="24"/>
        </w:rPr>
        <w:fldChar w:fldCharType="begin" w:fldLock="1"/>
      </w:r>
      <w:r w:rsidRPr="00846F12">
        <w:rPr>
          <w:rFonts w:ascii="Times New Roman" w:hAnsi="Times New Roman" w:cs="Times New Roman"/>
          <w:sz w:val="24"/>
          <w:szCs w:val="24"/>
          <w:lang w:val="en-US"/>
        </w:rPr>
        <w:instrText>ADDIN CSL_CITATION {"citationItems":[{"id":"ITEM-1","itemData":{"ISSN":"2222-1735","abstract":"Creativity is a key driver in the global economy. However, in the majority of national curricula creativity is perceived as secondary in many subjects. Unfortunately this means that students leave school without knowing how to create and innovate, consequently they will be under prepared for challenges that our society and economies are facing. In today's world of global competition and complex problems, creative intelligence and innovative capacity are fast becoming requirements for personal and professional success. Creative intelligence and imagination exist in all children therefore it should be fostered. To cultivate and educate the right \"right minds\" we need educational curricula that include exploration, problem solving and diversity. It is important that school systems respond to the changing world. There is need for functional education for the promotion of a progressive and united nations. To this end school programs need to be relevant, practical and comprehensive for the acquisition of appropriate skills and the development of mental, physical and social abilities and competences as equipment for the individual to live in and contribute to the development of the society, The paper is an analytical synthesis of the challenges and prospects of education in the global economic crisis and suggests creative and functional education as a panacea.","author":[{"dropping-particle":"","family":"Agbowuro","given":"Christine","non-dropping-particle":"","parse-names":false,"suffix":""},{"dropping-particle":"","family":"Saidu","given":"Shuaibu","non-dropping-particle":"","parse-names":false,"suffix":""},{"dropping-particle":"","family":"Jimwan","given":"Christiana S","non-dropping-particle":"","parse-names":false,"suffix":""}],"container-title":"Journal of Education and Practice","id":"ITEM-1","issue":"8","issued":{"date-parts":[["2017"]]},"page":"37-40","title":"Creative and Functional Education: The Challenges and Prospects in a Comatose Economy","type":"article-journal","volume":"8"},"uris":["http://www.mendeley.com/documents/?uuid=566671b5-f72a-46c1-95ee-a6e23eff0328"]}],"mendeley":{"formattedCitation":"(Agbowuro et al., 2017)","plainTextFormattedCitation":"(Agbowuro et al., 2017)","previouslyFormattedCitation":"(Agbowuro et al., 2017)"},"properties":{"noteIndex":0},"schema":"https://github.com/citation-style-language/schema/raw/master/csl-citation.json"}</w:instrText>
      </w:r>
      <w:r w:rsidRPr="00144504">
        <w:rPr>
          <w:rFonts w:ascii="Times New Roman" w:hAnsi="Times New Roman" w:cs="Times New Roman"/>
          <w:sz w:val="24"/>
          <w:szCs w:val="24"/>
        </w:rPr>
        <w:fldChar w:fldCharType="separate"/>
      </w:r>
      <w:r w:rsidRPr="00846F12">
        <w:rPr>
          <w:rFonts w:ascii="Times New Roman" w:hAnsi="Times New Roman" w:cs="Times New Roman"/>
          <w:noProof/>
          <w:sz w:val="24"/>
          <w:szCs w:val="24"/>
          <w:lang w:val="en-US"/>
        </w:rPr>
        <w:t>(Agbowuro et al., 2017)</w:t>
      </w:r>
      <w:r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divergent thinking </w:t>
      </w:r>
      <w:r w:rsidRPr="00144504">
        <w:rPr>
          <w:rFonts w:ascii="Times New Roman" w:hAnsi="Times New Roman" w:cs="Times New Roman"/>
          <w:sz w:val="24"/>
          <w:szCs w:val="24"/>
        </w:rPr>
        <w:fldChar w:fldCharType="begin" w:fldLock="1"/>
      </w:r>
      <w:r w:rsidRPr="00846F12">
        <w:rPr>
          <w:rFonts w:ascii="Times New Roman" w:hAnsi="Times New Roman" w:cs="Times New Roman"/>
          <w:sz w:val="24"/>
          <w:szCs w:val="24"/>
          <w:lang w:val="en-US"/>
        </w:rPr>
        <w:instrText>ADDIN CSL_CITATION {"citationItems":[{"id":"ITEM-1","itemData":{"DOI":"10.1207/s15326934crj1601_4","ISSN":"10400419","abstract":"This study sought to further validate two measures of creative imagination, and studied their relation to other creativity and personality measures. 151 college students complete</w:instrText>
      </w:r>
      <w:r w:rsidRPr="00144504">
        <w:rPr>
          <w:rFonts w:ascii="Times New Roman" w:hAnsi="Times New Roman" w:cs="Times New Roman"/>
          <w:sz w:val="24"/>
          <w:szCs w:val="24"/>
        </w:rPr>
        <w:instrText>d the Urban and Jellen (1996) Test of Creative Thinking-Drawing Production (TCT-DP), an inventory of past creative accomplishments, a Thematic Apperception Test (TAT) story, and scales for creative personality and the 5-factor model 86 of these participants also created autophotographic essays depicting themselves, scored for individuality/richness by consensual assessments. TCT-DP protocols were scored according to the manual, and also consensually assessed by teams of artist- and psychologist-judges. Factorial validity and relations to consensual assessments supported convergent and discriminant validity of the TCT-DP. The TCT-DP also correlated significantly with other creative pr</w:instrText>
      </w:r>
      <w:r w:rsidRPr="00846F12">
        <w:rPr>
          <w:rFonts w:ascii="Times New Roman" w:hAnsi="Times New Roman" w:cs="Times New Roman"/>
          <w:sz w:val="24"/>
          <w:szCs w:val="24"/>
          <w:lang w:val="en-US"/>
        </w:rPr>
        <w:instrText>oducts - the individuality of photo essays and rated creativity of TAT stories. Photo individuality correlated with past creative accomplishments in several areas. Adjective Check List-based creative personality scales related to most creativity measures, as did the \"big 5\" openness to experience domain, although the latter results seemed particularly compelling. Results support the domain generality rather than specificity position in an ongoing controversy in creativity research.","author":[{"dropping-particle":"","family":"Dollinger","given":"Stephen J.","non-dropping-particle":"","parse-names":false,"suffix":""},{"dropping-particle":"","family":"Urban","given":"Klaus K.","non-dropping-particle":"","parse-names":false,"suffix":""},{"dropping-particle":"","family":"James","given":"Troy A.","non-dropping-particle":"","parse-names":false,"suffix":""}],"container-title":"Creativity Research Journal","id":"ITEM-1","issue":"1","issued":{"date-parts":[["2004"]]},"page":"35-47","title":"Creativity and Openness: Further Validation of Two Creative Product Measures","type":"article-journal","volume":"16"},"uris":["http://www.mendeley.com/documents/?uuid=d20c0b91-92f1-4b13-81b8-eab879e72205"]}],"mendeley":{"formattedCitation":"(Dollinger et al., 2004)","plainTextFormattedCitation":"(Dollinger et al., 2004)","previouslyFormattedCitation":"(Dollinger et al., 2004)"},"properties":{"noteIndex":0},"schema":"https://github.com/citation-style-language/schema/raw/master/csl-citation.json"}</w:instrText>
      </w:r>
      <w:r w:rsidRPr="00144504">
        <w:rPr>
          <w:rFonts w:ascii="Times New Roman" w:hAnsi="Times New Roman" w:cs="Times New Roman"/>
          <w:sz w:val="24"/>
          <w:szCs w:val="24"/>
        </w:rPr>
        <w:fldChar w:fldCharType="separate"/>
      </w:r>
      <w:r w:rsidRPr="00E900E8">
        <w:rPr>
          <w:rFonts w:ascii="Times New Roman" w:hAnsi="Times New Roman" w:cs="Times New Roman"/>
          <w:noProof/>
          <w:sz w:val="24"/>
          <w:szCs w:val="24"/>
        </w:rPr>
        <w:t>(Dollinger et al., 2004)</w:t>
      </w:r>
      <w:r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the ability to find new problems </w:t>
      </w:r>
      <w:r w:rsidR="00F45A6A" w:rsidRPr="00144504">
        <w:rPr>
          <w:rFonts w:ascii="Times New Roman" w:hAnsi="Times New Roman" w:cs="Times New Roman"/>
          <w:sz w:val="24"/>
          <w:szCs w:val="24"/>
        </w:rPr>
        <w:fldChar w:fldCharType="begin" w:fldLock="1"/>
      </w:r>
      <w:r w:rsidR="00F45A6A" w:rsidRPr="00E900E8">
        <w:rPr>
          <w:rFonts w:ascii="Times New Roman" w:hAnsi="Times New Roman" w:cs="Times New Roman"/>
          <w:sz w:val="24"/>
          <w:szCs w:val="24"/>
        </w:rPr>
        <w:instrText>ADDIN CSL_CITATION {"citationItems":[{"id":"ITEM-1","itemData":{"DOI":"10.1016/0732-118X(88)90001-3","ISSN":"0732118X","abstract":"Cognitive scientists who model creative thinking on computers claim that the ability of their programs to replicate the discovery of scientific laws (e.g., Kepler's third law from Brahe's data) means that creative thinking in humans is nothing but problem solving of the kind computer heuristics use. This claim is shown to be a mystification based on a misunderstanding of creativity, on unrealistic replications of the initial conditions present at the inception of creative processes, and on a misleading identification of rationality with complex human thought processes. Some of the implications of such mystification for understanding thought processes in general are reviewed. © 1988.","author":[{"dropping-particle":"","family":"Csikszentmihalyi","given":"Mihaly","non-dropping-particle":"","parse-names":false,"suffix":""}],"container-title":"New Ideas in Psychology","id":"ITEM-1","issue":"2","issued":{"date-parts":[["1988"]]},"page":"159-176","title":"Motivation and creativity: Toward a synthesis of structural and energistic approaches to cognition","type":"article-journal","volume":"6"},"uris":["http://www.mendeley.com/documents/?uuid=c10c98c1-7953-4484-adb2-98addcc46300"]}],"mendeley":{"formattedCitation":"(Csikszentmihalyi, 1988)","plainTextFormattedCitation":"(Csikszentmihalyi, 1988)","previouslyFormattedCitation":"(Csikszentmihalyi, 1988)"},"properties":{"noteIndex":0},"schema":"https://github.com/citation-style-language/schema/raw/master/csl-citation.json"}</w:instrText>
      </w:r>
      <w:r w:rsidR="00F45A6A" w:rsidRPr="00144504">
        <w:rPr>
          <w:rFonts w:ascii="Times New Roman" w:hAnsi="Times New Roman" w:cs="Times New Roman"/>
          <w:sz w:val="24"/>
          <w:szCs w:val="24"/>
        </w:rPr>
        <w:fldChar w:fldCharType="separate"/>
      </w:r>
      <w:r w:rsidR="00F45A6A" w:rsidRPr="00E900E8">
        <w:rPr>
          <w:rFonts w:ascii="Times New Roman" w:hAnsi="Times New Roman" w:cs="Times New Roman"/>
          <w:noProof/>
          <w:sz w:val="24"/>
          <w:szCs w:val="24"/>
        </w:rPr>
        <w:t>(Csikszentmihalyi, 1988)</w:t>
      </w:r>
      <w:r w:rsidR="00F45A6A"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novelty and practicality </w:t>
      </w:r>
      <w:r w:rsidR="00F45A6A" w:rsidRPr="00144504">
        <w:rPr>
          <w:rFonts w:ascii="Times New Roman" w:hAnsi="Times New Roman" w:cs="Times New Roman"/>
          <w:sz w:val="24"/>
          <w:szCs w:val="24"/>
        </w:rPr>
        <w:fldChar w:fldCharType="begin" w:fldLock="1"/>
      </w:r>
      <w:r w:rsidR="00F45A6A" w:rsidRPr="00E900E8">
        <w:rPr>
          <w:rFonts w:ascii="Times New Roman" w:hAnsi="Times New Roman" w:cs="Times New Roman"/>
          <w:sz w:val="24"/>
          <w:szCs w:val="24"/>
        </w:rPr>
        <w:instrText>ADDIN CSL_CITATION {"citationItems":[{"id":"ITEM-1","itemData":{"DOI":"10.1016/j.riob.2016.10.001","ISSN":"01913085","abstract":"Leveraging insights gained through a burgeoning research literature over the past 28 years, this paper presents a significant revision of the model of creativity and innovation in organizations published in Research in Organizational Behavior in 1988. This update focuses primarily on the individual-level psychological processes implicated in creativity that have been illuminated by recent research, and highlights organizational</w:instrText>
      </w:r>
      <w:r w:rsidR="00F45A6A" w:rsidRPr="00F45A6A">
        <w:rPr>
          <w:rFonts w:ascii="Times New Roman" w:hAnsi="Times New Roman" w:cs="Times New Roman"/>
          <w:sz w:val="24"/>
          <w:szCs w:val="24"/>
          <w:lang w:val="en-US"/>
        </w:rPr>
        <w:instrText xml:space="preserve"> work environment influences on those processes. We revisit basic assumptions underlying the 1988 model, modify certain components and causal connections, and introduce four new constructs into the model: (1) a sense of progress in creative idea development; (2) the meaningfulness of the work to those carrying it out; (3) affect; and (4) synergistic extrinsic motivation. Throughout, we propose ways in which the components underlying individual and team creativity can both influence and be influenced by organizational factors crucial to innovation.","author":[{"dropping-particle":"","family":"Amabile","given":"Teresa M.","non-dropping-particle":"","parse-names":false,"suffix":""},{"dropping-particle":"","family":"Pratt","given":"Michael G.","non-dropping-particle":"","parse-names":false,"suffix":""}],"container-title":"Research in Organizational Behavior","id":"ITEM-1","issued":{"date-parts":[["2016"]]},"page":"157-183","publisher":"Elsevier Ltd","title":"The dynamic componential model of creativity and innovation in organizations: Making progress, making meaning","type":"article-journal","volume":"36"},"uris":["http://www.mendeley.com/documents/?uuid=d5b10221-73a4-4bb9-b1aa-8c82c24324dd"]}],"mendeley":{"formattedCitation":"(Amabile &amp; Pratt, 2016)","plainTextFormattedCitation":"(Amabile &amp; Pratt, 2016)","previouslyFormattedCitation":"(Amabile &amp; Pratt, 2016)"},"properties":{"noteIndex":0},"schema":"https://github.com/citation-style-language/schema/raw/master/csl-citation.json"}</w:instrText>
      </w:r>
      <w:r w:rsidR="00F45A6A" w:rsidRPr="00144504">
        <w:rPr>
          <w:rFonts w:ascii="Times New Roman" w:hAnsi="Times New Roman" w:cs="Times New Roman"/>
          <w:sz w:val="24"/>
          <w:szCs w:val="24"/>
        </w:rPr>
        <w:fldChar w:fldCharType="separate"/>
      </w:r>
      <w:r w:rsidR="00F45A6A" w:rsidRPr="00F45A6A">
        <w:rPr>
          <w:rFonts w:ascii="Times New Roman" w:hAnsi="Times New Roman" w:cs="Times New Roman"/>
          <w:noProof/>
          <w:sz w:val="24"/>
          <w:szCs w:val="24"/>
          <w:lang w:val="en-US"/>
        </w:rPr>
        <w:t>(Amabile &amp; Pratt, 2016)</w:t>
      </w:r>
      <w:r w:rsidR="00F45A6A"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and the emergence of new ideas through experimentation </w:t>
      </w:r>
      <w:r w:rsidR="00F45A6A" w:rsidRPr="00144504">
        <w:rPr>
          <w:rFonts w:ascii="Times New Roman" w:hAnsi="Times New Roman" w:cs="Times New Roman"/>
          <w:sz w:val="24"/>
          <w:szCs w:val="24"/>
        </w:rPr>
        <w:fldChar w:fldCharType="begin" w:fldLock="1"/>
      </w:r>
      <w:r w:rsidR="00F45A6A" w:rsidRPr="00F45A6A">
        <w:rPr>
          <w:rFonts w:ascii="Times New Roman" w:hAnsi="Times New Roman" w:cs="Times New Roman"/>
          <w:sz w:val="24"/>
          <w:szCs w:val="24"/>
          <w:lang w:val="en-US"/>
        </w:rPr>
        <w:instrText>ADDIN CSL_CITATION {"citationItems":[{"id":"ITEM-1","itemData":{"DOI":"10.1177/0170840616647671","author":[{"dropping-particle":"","family":"Jones","given":"Candace","non-dropping-particle":"","parse-names":false,"suffix":""},{"dropping-particle":"","family":"Townley","given":"Barbara","non-dropping-particle":"","parse-names":false,"suffix":""}],"container-title":"Organization Studies","id":"ITEM-1","issue":"6","issued":{"date-parts":[["2016"]]},"page":"751–768","title":"Misfits, Mavericks and Mainstreams: Drivers of Innovation in the Creative Industries","type":"article-journal","volume":"37"},"uris":["http://www.mendeley.com/documents/?uuid=f4544004-6b0b-4bcb-9df2-ff918daca8cd"]}],"mendeley":{"formattedCitation":"(Jones &amp; Townley, 2016)","plainTextFormattedCitation":"(Jones &amp; Townley, 2016)","previouslyFormattedCitation":"(Jones &amp; Townley, 2016)"},"properties":{"noteIndex":0},"schema":"https://github.com/citation-style-language/schema/raw/master/csl-citation.json"}</w:instrText>
      </w:r>
      <w:r w:rsidR="00F45A6A" w:rsidRPr="00144504">
        <w:rPr>
          <w:rFonts w:ascii="Times New Roman" w:hAnsi="Times New Roman" w:cs="Times New Roman"/>
          <w:sz w:val="24"/>
          <w:szCs w:val="24"/>
        </w:rPr>
        <w:fldChar w:fldCharType="separate"/>
      </w:r>
      <w:r w:rsidR="00F45A6A" w:rsidRPr="00F45A6A">
        <w:rPr>
          <w:rFonts w:ascii="Times New Roman" w:hAnsi="Times New Roman" w:cs="Times New Roman"/>
          <w:noProof/>
          <w:sz w:val="24"/>
          <w:szCs w:val="24"/>
          <w:lang w:val="en-US"/>
        </w:rPr>
        <w:t>(Jones &amp; Townley, 2016)</w:t>
      </w:r>
      <w:r w:rsidR="00F45A6A"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Despite language debates, there is general agreement that creativity involves the production of new and valuable ideas and products. The aspects of originality and effectiveness have a long history which can also be referred to as standard definitions of creativity </w:t>
      </w:r>
      <w:r w:rsidR="00F45A6A" w:rsidRPr="00144504">
        <w:rPr>
          <w:rFonts w:ascii="Times New Roman" w:hAnsi="Times New Roman" w:cs="Times New Roman"/>
          <w:sz w:val="24"/>
          <w:szCs w:val="24"/>
        </w:rPr>
        <w:fldChar w:fldCharType="begin" w:fldLock="1"/>
      </w:r>
      <w:r w:rsidR="00F45A6A" w:rsidRPr="00F45A6A">
        <w:rPr>
          <w:rFonts w:ascii="Times New Roman" w:hAnsi="Times New Roman" w:cs="Times New Roman"/>
          <w:sz w:val="24"/>
          <w:szCs w:val="24"/>
          <w:lang w:val="en-US"/>
        </w:rPr>
        <w:instrText>ADDIN CSL_CITATION {"citationItems":[{"id":"ITEM-1","itemData":{"DOI":"10.1080/10400419.2012.650092","ISSN":"10400419","author":[{"dropping-particle":"","family":"Runco","given":"Mark A.","non-dropping-particle":"","parse-names":false,"suffix":""},{"dropping-particle":"","family":"Jaeger","given":"Garrett J.","non-dropping-particle":"","parse-names":false,"suffix":""}],"container-title":"Creativity Research Journal","id":"ITEM-1","issue":"1","issued":{"date-parts":[["2012"]]},"page":"92-96","title":"The Standard Definition of Creativity","type":"article-journal","volume":"24"},"uris":["http://www.mendeley.com/documents/?uuid=81e5e6d4-de97-4afe-99c5-bcceb6059fdc"]}],"mendeley":{"formattedCitation":"(Runco &amp; Jaeger, 2012)","plainTextFormattedCitation":"(Runco &amp; Jaeger, 2012)","previouslyFormattedCitation":"(Runco &amp; Jaeger, 2012)"},"properties":{"noteIndex":0},"schema":"https://github.com/citation-style-language/schema/raw/master/csl-citation.json"}</w:instrText>
      </w:r>
      <w:r w:rsidR="00F45A6A" w:rsidRPr="00144504">
        <w:rPr>
          <w:rFonts w:ascii="Times New Roman" w:hAnsi="Times New Roman" w:cs="Times New Roman"/>
          <w:sz w:val="24"/>
          <w:szCs w:val="24"/>
        </w:rPr>
        <w:fldChar w:fldCharType="separate"/>
      </w:r>
      <w:r w:rsidR="00F45A6A" w:rsidRPr="00F45A6A">
        <w:rPr>
          <w:rFonts w:ascii="Times New Roman" w:hAnsi="Times New Roman" w:cs="Times New Roman"/>
          <w:noProof/>
          <w:sz w:val="24"/>
          <w:szCs w:val="24"/>
          <w:lang w:val="en-US"/>
        </w:rPr>
        <w:t>(Runco &amp; Jaeger, 2012)</w:t>
      </w:r>
      <w:r w:rsidR="00F45A6A"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Most modern research relies on the novelty and usefulness of ideas as a measure of creativity </w:t>
      </w:r>
      <w:r w:rsidR="00F45A6A" w:rsidRPr="00144504">
        <w:rPr>
          <w:rFonts w:ascii="Times New Roman" w:hAnsi="Times New Roman" w:cs="Times New Roman"/>
          <w:sz w:val="24"/>
          <w:szCs w:val="24"/>
        </w:rPr>
        <w:fldChar w:fldCharType="begin" w:fldLock="1"/>
      </w:r>
      <w:r w:rsidR="00F45A6A" w:rsidRPr="00F45A6A">
        <w:rPr>
          <w:rFonts w:ascii="Times New Roman" w:hAnsi="Times New Roman" w:cs="Times New Roman"/>
          <w:sz w:val="24"/>
          <w:szCs w:val="24"/>
          <w:lang w:val="en-US"/>
        </w:rPr>
        <w:instrText>ADDIN CSL_CITATION {"citationItems":[{"id":"ITEM-1","itemData":{"DOI":"10.1080/10400419.2003.9651403","ISSN":"1040-0419","abstract":"The dedicated work of numerous schol-ars has, over the last 10 years, led to some radical ad-vances in our understanding of the nature and impli-cations of creativity. This work has been summarized in 2 recent handbooks—Mark Runco's Creativity Re-search Handbook and Robert Sternberg's Handbook of Creativity. In this article I use these handbooks as a starting point to take stock in both what has been accomplished and what still needs to be done in our attempts to understand creativity. I begin by noting that both handbooks clearly describe the major ap-proaches being used in studies of creativity and the findings resulting from each approach. A careful re-view of the chapters presented in these handbooks, however, brings to the fore a number of issues. For example, we need critical comparative tests contrast-ing the merits of different methods and theories, elab-oration and extension of our traditional samples and our traditional measures, and more attempts to de-velop integrative models. However, some topics, such as the demands of practical innovation, cross-field differences in the nature of creative thought, and the effects of creativity on people and social systems need more thorough treatment. By laying a foundation for cumulative res</w:instrText>
      </w:r>
      <w:r w:rsidR="00F45A6A" w:rsidRPr="00144504">
        <w:rPr>
          <w:rFonts w:ascii="Times New Roman" w:hAnsi="Times New Roman" w:cs="Times New Roman"/>
          <w:sz w:val="24"/>
          <w:szCs w:val="24"/>
        </w:rPr>
        <w:instrText>earch along those lines, publication of these handbooks represents an important step toward development of a coherent, scientific model of the creative act. \" We take our cue from science, at once the source of our material achievements and the model of cumulative, self-perpetuating inquiry, which guarantees its continu-ation precisely by its willingness to submit every ad-vance to the risk of suppression \" (Lasch, 1991, p. 45). In this quotation, Lasch succinctly described the two key elements that shape progress in any field of scientific endeavor. We must use our research to build a cumula-tive body of evidence, and we must be willing to revise and restructure our understanding of the phenomenon based on the available evidence and extant theory. These observations about the nature of the scien-tific enterprise underscore the fundamental impor-tance of handbooks. Handbooks exist to provide a comprehensive, cumulative summary of what we know about a phenomenon. As a cumulative summary, handbooks serve both to define the field \" as it is \" and provide a point of departure for subsequent work. In this sense, the publication of two authoritative hand-books, Mark Runco's (1997a, 1997b) Creativity Re-search Handbook and R…","author":[{"dropping-particle":"","family":"Mumford","given":"Michael D.","non-dropping-particle":"","parse-names":false,"suffix":""}],"container-title":"Creativity Research Journal","id":"ITEM-1","issue":"2-3","issued":{"date-parts":[["2003"]]},"page":"107-120","title":"Where Have We Been, Where Are We Going? Taking Stock in Creativity Research","type":"article-journal","volume":"15"},"uris":["http://www.mendeley.com/documents/?uuid=af7b480e-3f3b-4e29-9e57-ad45c940b879"]}],"mendeley":{"formattedCitation":"(Mumford, 2003)","plainTextFormattedCitation":"(Mumford, 2003)","previouslyFormattedCitation":"(Mumford, 2003)"},"properties":{"noteIndex":0},"schema":"https://github.com/citation-style-language/schema/raw/master/csl-citation.json"}</w:instrText>
      </w:r>
      <w:r w:rsidR="00F45A6A" w:rsidRPr="00144504">
        <w:rPr>
          <w:rFonts w:ascii="Times New Roman" w:hAnsi="Times New Roman" w:cs="Times New Roman"/>
          <w:sz w:val="24"/>
          <w:szCs w:val="24"/>
        </w:rPr>
        <w:fldChar w:fldCharType="separate"/>
      </w:r>
      <w:r w:rsidR="00F45A6A" w:rsidRPr="00144504">
        <w:rPr>
          <w:rFonts w:ascii="Times New Roman" w:hAnsi="Times New Roman" w:cs="Times New Roman"/>
          <w:noProof/>
          <w:sz w:val="24"/>
          <w:szCs w:val="24"/>
        </w:rPr>
        <w:t>(Mumford, 2003)</w:t>
      </w:r>
      <w:r w:rsidR="00F45A6A" w:rsidRPr="00144504">
        <w:rPr>
          <w:rFonts w:ascii="Times New Roman" w:hAnsi="Times New Roman" w:cs="Times New Roman"/>
          <w:sz w:val="24"/>
          <w:szCs w:val="24"/>
        </w:rPr>
        <w:fldChar w:fldCharType="end"/>
      </w:r>
      <w:r w:rsidRPr="00846F12">
        <w:rPr>
          <w:rFonts w:ascii="Times New Roman" w:hAnsi="Times New Roman" w:cs="Times New Roman"/>
          <w:sz w:val="24"/>
          <w:szCs w:val="24"/>
          <w:lang w:val="en-US"/>
        </w:rPr>
        <w:t xml:space="preserve">. Novelty refers to originality, namely the production of something new, and usefulness refers to the suitability of ideas in solving the problem under consideration </w:t>
      </w:r>
      <w:r w:rsidR="00F45A6A" w:rsidRPr="00144504">
        <w:rPr>
          <w:rFonts w:ascii="Times New Roman" w:hAnsi="Times New Roman" w:cs="Times New Roman"/>
          <w:sz w:val="24"/>
          <w:szCs w:val="24"/>
        </w:rPr>
        <w:fldChar w:fldCharType="begin" w:fldLock="1"/>
      </w:r>
      <w:r w:rsidR="00F45A6A" w:rsidRPr="00144504">
        <w:rPr>
          <w:rFonts w:ascii="Times New Roman" w:hAnsi="Times New Roman" w:cs="Times New Roman"/>
          <w:sz w:val="24"/>
          <w:szCs w:val="24"/>
        </w:rPr>
        <w:instrText>ADDIN CSL_CITATION {"citationItems":[{"id":"ITEM-1","itemData":{"DOI":"10.1146/annurev.psych.093008.100416","ISSN":"00664308","PMID":"19575609","abstract":"The psychological study of creativity is essential to human progress. If strides are to be made in the sciences, humanities, and arts, we must arrive at a far more detailed understanding of the creative process, its antecedents, and its inhibitors. This review, encompassing most subspecialties in the study of creativity and focusing on twenty-first-century literature, reve</w:instrText>
      </w:r>
      <w:r w:rsidR="00F45A6A" w:rsidRPr="006951FF">
        <w:rPr>
          <w:rFonts w:ascii="Times New Roman" w:hAnsi="Times New Roman" w:cs="Times New Roman"/>
          <w:sz w:val="24"/>
          <w:szCs w:val="24"/>
        </w:rPr>
        <w:instrText>als both a growing interest in creativity among psychologists and a growing fragmentation in the field. To be sure, research into the psychology of creativity has grown theoretically and methodologically sophisticated, and researchers have made important contributions from an ever-expanding variety of disciplines. But this expansion has not come without a price. Investigators in one subfield often seem unaware of advances in another. Deeper understanding requires more interdisciplinary research, based on a systems view of creativity that recognizes a variety of interrelated forces operating at multiple levels. Copyright © 2010 by Annual Reviews. All rights reserved.","author":[{"dropping-particle":"","family":"Hennessey","given":"Beth A.","non-dropping-particle":"","parse-names":false,"suffix":""},{"</w:instrText>
      </w:r>
      <w:r w:rsidR="00F45A6A" w:rsidRPr="00206242">
        <w:rPr>
          <w:rFonts w:ascii="Times New Roman" w:hAnsi="Times New Roman" w:cs="Times New Roman"/>
          <w:sz w:val="24"/>
          <w:szCs w:val="24"/>
          <w:lang w:val="en-US"/>
        </w:rPr>
        <w:instrText>dropping-particle":"","family":"Amabile","given":"Teresa M.","non-dropping-particle":"","parse-names":false,"suffix":""}],"container-title":"Annual Review of Psychology","id":"ITEM-1","issued":{"date-parts":[["2010"]]},"page":"569-598","title":"Creativity","type":"article-journal","volume":"61"},"uris":["http://www.mendeley.com/documents/?uuid=bb84060f-f04d-4d1f-be6d-e04e9b5e00b3"]}],"mendeley":{"formattedCitation":"(Hennessey &amp; Amabile, 2010)","plainTextFormattedCitation":"(Hennessey &amp; Amabile, 2010)","previouslyFormattedCitation":"(Hennessey &amp; Amabile, 2010)"},"properties":{"noteIndex":0},"schema":"https://github.com/citation-style-language/schema/raw/master/csl-citation.json"}</w:instrText>
      </w:r>
      <w:r w:rsidR="00F45A6A" w:rsidRPr="00144504">
        <w:rPr>
          <w:rFonts w:ascii="Times New Roman" w:hAnsi="Times New Roman" w:cs="Times New Roman"/>
          <w:sz w:val="24"/>
          <w:szCs w:val="24"/>
        </w:rPr>
        <w:fldChar w:fldCharType="separate"/>
      </w:r>
      <w:r w:rsidR="00F45A6A" w:rsidRPr="00206242">
        <w:rPr>
          <w:rFonts w:ascii="Times New Roman" w:hAnsi="Times New Roman" w:cs="Times New Roman"/>
          <w:noProof/>
          <w:sz w:val="24"/>
          <w:szCs w:val="24"/>
          <w:lang w:val="en-US"/>
        </w:rPr>
        <w:t>(Hennessey &amp; Amabile, 2010)</w:t>
      </w:r>
      <w:r w:rsidR="00F45A6A" w:rsidRPr="00144504">
        <w:rPr>
          <w:rFonts w:ascii="Times New Roman" w:hAnsi="Times New Roman" w:cs="Times New Roman"/>
          <w:sz w:val="24"/>
          <w:szCs w:val="24"/>
        </w:rPr>
        <w:fldChar w:fldCharType="end"/>
      </w:r>
      <w:r w:rsidRPr="00206242">
        <w:rPr>
          <w:rFonts w:ascii="Times New Roman" w:hAnsi="Times New Roman" w:cs="Times New Roman"/>
          <w:sz w:val="24"/>
          <w:szCs w:val="24"/>
          <w:lang w:val="en-US"/>
        </w:rPr>
        <w:t>.</w:t>
      </w:r>
    </w:p>
    <w:p w14:paraId="633AA9DA" w14:textId="5A6718F8" w:rsidR="00F45A6A" w:rsidRPr="00F45A6A" w:rsidRDefault="00F45A6A" w:rsidP="008A2EF3">
      <w:pPr>
        <w:spacing w:after="0" w:line="276" w:lineRule="auto"/>
        <w:ind w:firstLine="720"/>
        <w:jc w:val="both"/>
        <w:rPr>
          <w:rFonts w:ascii="Times New Roman" w:hAnsi="Times New Roman" w:cs="Times New Roman"/>
          <w:sz w:val="24"/>
          <w:szCs w:val="24"/>
          <w:lang w:val="en-US"/>
        </w:rPr>
      </w:pPr>
      <w:r w:rsidRPr="00F45A6A">
        <w:rPr>
          <w:rFonts w:ascii="Times New Roman" w:hAnsi="Times New Roman" w:cs="Times New Roman"/>
          <w:sz w:val="24"/>
          <w:szCs w:val="24"/>
          <w:lang w:val="en-US"/>
        </w:rPr>
        <w:t xml:space="preserve">Creative students possess several characteristics of creativity. Guilford distinguished between cognitive characteristics (aptitude) and affective characteristics (non-aptitude) related to creativity </w:t>
      </w:r>
      <w:r w:rsidRPr="008A2EF3">
        <w:rPr>
          <w:rFonts w:ascii="Times New Roman" w:hAnsi="Times New Roman" w:cs="Times New Roman"/>
          <w:sz w:val="24"/>
          <w:szCs w:val="24"/>
          <w:lang w:val="en-US"/>
        </w:rPr>
        <w:fldChar w:fldCharType="begin" w:fldLock="1"/>
      </w:r>
      <w:r w:rsidRPr="00F45A6A">
        <w:rPr>
          <w:rFonts w:ascii="Times New Roman" w:hAnsi="Times New Roman" w:cs="Times New Roman"/>
          <w:sz w:val="24"/>
          <w:szCs w:val="24"/>
          <w:lang w:val="en-US"/>
        </w:rPr>
        <w:instrText>ADDIN CSL_CITATION {"citationItems":[{"id":"ITEM-1","itemData":{"author":[{"dropping-particle":"","family":"Guilford","given":"J P","non-dropping-particle":"","parse-names":false,"suffix":""}],"container-title":"Psychological Review","id":"ITEM-1","issue":"2","issued":{"date-parts":[["1957"]]},"page":"110-118","title":"Creative abilities in the arts","type":"article-journal","volume":"64"},"uris":["http://www.mendeley.com/documents/?uuid=8d566ab2-9332-4794-84e9-3f31533f0cb2"]}],"mendeley":{"formattedCitation":"(Guilford, 1957)","plainTextFormattedCitation":"(Guilford, 1957)","previouslyFormattedCitation":"(Guilford, 1957)"},"properties":{"noteIndex":0},"schema":"https://github.com/citation-style-language/schema/raw/master/csl-citation.json"}</w:instrText>
      </w:r>
      <w:r w:rsidRPr="008A2EF3">
        <w:rPr>
          <w:rFonts w:ascii="Times New Roman" w:hAnsi="Times New Roman" w:cs="Times New Roman"/>
          <w:sz w:val="24"/>
          <w:szCs w:val="24"/>
          <w:lang w:val="en-US"/>
        </w:rPr>
        <w:fldChar w:fldCharType="separate"/>
      </w:r>
      <w:r w:rsidRPr="00F45A6A">
        <w:rPr>
          <w:rFonts w:ascii="Times New Roman" w:hAnsi="Times New Roman" w:cs="Times New Roman"/>
          <w:noProof/>
          <w:sz w:val="24"/>
          <w:szCs w:val="24"/>
          <w:lang w:val="en-US"/>
        </w:rPr>
        <w:t>(Guilford, 1957)</w:t>
      </w:r>
      <w:r w:rsidRPr="008A2EF3">
        <w:rPr>
          <w:rFonts w:ascii="Times New Roman" w:hAnsi="Times New Roman" w:cs="Times New Roman"/>
          <w:sz w:val="24"/>
          <w:szCs w:val="24"/>
          <w:lang w:val="en-US"/>
        </w:rPr>
        <w:fldChar w:fldCharType="end"/>
      </w:r>
      <w:r w:rsidRPr="00F45A6A">
        <w:rPr>
          <w:rFonts w:ascii="Times New Roman" w:hAnsi="Times New Roman" w:cs="Times New Roman"/>
          <w:sz w:val="24"/>
          <w:szCs w:val="24"/>
          <w:lang w:val="en-US"/>
        </w:rPr>
        <w:t xml:space="preserve">. Cognitive characteristics (aptitude) are related to cognition and thinking processes whose indicators include fluency, flexibility, originality in thinking and elaboration (development, enrichment, detailing) of an idea. At the same time, affective characteristics (non-aptitude) are more related to attitudes or feelings whose indicators include curiosity, being imaginative, feeling challenged by pluralism, being willing to take risks and being respectful. These two characteristics of creativity are needed to </w:t>
      </w:r>
      <w:proofErr w:type="spellStart"/>
      <w:r w:rsidR="00C40C7A" w:rsidRPr="00C40C7A">
        <w:rPr>
          <w:rFonts w:ascii="Times New Roman" w:hAnsi="Times New Roman" w:cs="Times New Roman"/>
          <w:sz w:val="24"/>
          <w:szCs w:val="24"/>
          <w:lang w:val="en-US"/>
        </w:rPr>
        <w:t>to</w:t>
      </w:r>
      <w:proofErr w:type="spellEnd"/>
      <w:r w:rsidR="00C40C7A" w:rsidRPr="00C40C7A">
        <w:rPr>
          <w:rFonts w:ascii="Times New Roman" w:hAnsi="Times New Roman" w:cs="Times New Roman"/>
          <w:sz w:val="24"/>
          <w:szCs w:val="24"/>
          <w:lang w:val="en-US"/>
        </w:rPr>
        <w:t xml:space="preserve"> realize </w:t>
      </w:r>
      <w:r w:rsidRPr="00F45A6A">
        <w:rPr>
          <w:rFonts w:ascii="Times New Roman" w:hAnsi="Times New Roman" w:cs="Times New Roman"/>
          <w:sz w:val="24"/>
          <w:szCs w:val="24"/>
          <w:lang w:val="en-US"/>
        </w:rPr>
        <w:t xml:space="preserve">students' creative </w:t>
      </w:r>
      <w:r w:rsidR="00C40C7A" w:rsidRPr="00C40C7A">
        <w:rPr>
          <w:rFonts w:ascii="Times New Roman" w:hAnsi="Times New Roman" w:cs="Times New Roman"/>
          <w:sz w:val="24"/>
          <w:szCs w:val="24"/>
          <w:lang w:val="en-US"/>
        </w:rPr>
        <w:t>behavior</w:t>
      </w:r>
      <w:r w:rsidRPr="00F45A6A">
        <w:rPr>
          <w:rFonts w:ascii="Times New Roman" w:hAnsi="Times New Roman" w:cs="Times New Roman"/>
          <w:sz w:val="24"/>
          <w:szCs w:val="24"/>
          <w:lang w:val="en-US"/>
        </w:rPr>
        <w:t xml:space="preserve">. The Partnership for the 21st Century also identified indicators of creativity, including generating alternative solutions, generating clear ideas, evaluating ideas, developing ideas, being open and responsive to new and diverse perspectives, and generating original ideas </w:t>
      </w:r>
      <w:r>
        <w:rPr>
          <w:rFonts w:ascii="Times New Roman" w:hAnsi="Times New Roman" w:cs="Times New Roman"/>
          <w:color w:val="000000" w:themeColor="text1"/>
          <w:sz w:val="24"/>
          <w:szCs w:val="24"/>
          <w:lang w:val="sv-SE"/>
        </w:rPr>
        <w:fldChar w:fldCharType="begin" w:fldLock="1"/>
      </w:r>
      <w:r w:rsidRPr="00F45A6A">
        <w:rPr>
          <w:rFonts w:ascii="Times New Roman" w:hAnsi="Times New Roman" w:cs="Times New Roman"/>
          <w:color w:val="000000" w:themeColor="text1"/>
          <w:sz w:val="24"/>
          <w:szCs w:val="24"/>
          <w:lang w:val="en-US"/>
        </w:rPr>
        <w:instrText>ADDIN CSL_CITATION {"citationItems":[{"id":"ITEM-1","itemData":{"ISBN":"9789400723238","abstract":"ATC21S is a system enabling formative assessment of Collaborative Problem Solving. ATC21S™ has been designed to support the development of social and cognitive skills needed to become a good collaborative problem solver","author":[{"dropping-particle":"","family":"Binkley","given":"Marilyn","non-dropping-particle":"","parse-names":false,"suffix":""},{"dropping-particle":"","family":"Erstad","given":"Ola","non-dropping-particle":"","parse-names":false,"suffix":""},{"dropping-particle":"","family":"Herman","given":"Joan","non-dropping-particle":"","parse-names":false,"suffix":""},{"dropping-particle":"","family":"Ripley","given":"Martin","non-dropping-particle":"","parse-names":false,"suffix":""},{"dropping-particle":"","family":"Rumble","given":"Mike","non-dropping-particle":"","parse-names":false,"suffix":""},{"dropping-particle":"","family":"Miller-Ricci","given":"May","non-dropping-particle":"","parse-names":false,"suffix":""}],"container-title":"Griffin, P., McGaw, B., Care, E. (eds) Assessment and Teaching of 21st Century Skills","id":"ITEM-1","issued":{"date-parts":[["2012"]]},"publisher":"Springer","title":"Assessment and Teaching of 21st Century Skills (ATC21S)","type":"chapter"},"uris":["http://www.mendeley.com/documents/?uuid=071a4e68-77bc-4097-a243-d607967e68c1"]}],"mendeley":{"formattedCitation":"(Binkley et al., 2012)","plainTextFormattedCitation":"(Binkley et al., 2012)","previouslyFormattedCitation":"(Binkley et al., 2012)"},"properties":{"noteIndex":0},"schema":"https://github.com/citation-style-language/schema/raw/master/csl-citation.json"}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F45A6A">
        <w:rPr>
          <w:rFonts w:ascii="Times New Roman" w:hAnsi="Times New Roman" w:cs="Times New Roman"/>
          <w:noProof/>
          <w:color w:val="000000" w:themeColor="text1"/>
          <w:sz w:val="24"/>
          <w:szCs w:val="24"/>
          <w:lang w:val="en-US"/>
        </w:rPr>
        <w:t>(Binkley et al., 2012)</w:t>
      </w:r>
      <w:r>
        <w:rPr>
          <w:rFonts w:ascii="Times New Roman" w:hAnsi="Times New Roman" w:cs="Times New Roman"/>
          <w:color w:val="000000" w:themeColor="text1"/>
          <w:sz w:val="24"/>
          <w:szCs w:val="24"/>
          <w:lang w:val="sv-SE"/>
        </w:rPr>
        <w:fldChar w:fldCharType="end"/>
      </w:r>
      <w:r w:rsidRPr="00F45A6A">
        <w:rPr>
          <w:rFonts w:ascii="Times New Roman" w:hAnsi="Times New Roman" w:cs="Times New Roman"/>
          <w:sz w:val="24"/>
          <w:szCs w:val="24"/>
          <w:lang w:val="en-US"/>
        </w:rPr>
        <w:t>.</w:t>
      </w:r>
    </w:p>
    <w:p w14:paraId="41D0B69F" w14:textId="330DBDAA" w:rsidR="00663507" w:rsidRPr="007762FE" w:rsidRDefault="00663507" w:rsidP="00663507">
      <w:pPr>
        <w:spacing w:after="0" w:line="276" w:lineRule="auto"/>
        <w:rPr>
          <w:rStyle w:val="fontstyle21"/>
          <w:rFonts w:ascii="Times New Roman" w:hAnsi="Times New Roman" w:cs="Times New Roman"/>
          <w:b/>
          <w:bCs/>
          <w:sz w:val="24"/>
          <w:szCs w:val="24"/>
        </w:rPr>
      </w:pPr>
      <w:r w:rsidRPr="007762FE">
        <w:rPr>
          <w:rStyle w:val="fontstyle01"/>
          <w:rFonts w:ascii="Times New Roman" w:hAnsi="Times New Roman" w:cs="Times New Roman"/>
          <w:b w:val="0"/>
          <w:bCs w:val="0"/>
          <w:sz w:val="24"/>
          <w:szCs w:val="24"/>
        </w:rPr>
        <w:t>3.</w:t>
      </w:r>
      <w:r w:rsidRPr="00206242">
        <w:rPr>
          <w:rStyle w:val="fontstyle01"/>
          <w:rFonts w:ascii="Times New Roman" w:hAnsi="Times New Roman" w:cs="Times New Roman"/>
          <w:b w:val="0"/>
          <w:bCs w:val="0"/>
          <w:sz w:val="24"/>
          <w:szCs w:val="24"/>
          <w:lang w:val="en-US"/>
        </w:rPr>
        <w:t>1</w:t>
      </w:r>
      <w:r w:rsidRPr="007762FE">
        <w:rPr>
          <w:rStyle w:val="fontstyle01"/>
          <w:rFonts w:ascii="Times New Roman" w:hAnsi="Times New Roman" w:cs="Times New Roman"/>
          <w:b w:val="0"/>
          <w:bCs w:val="0"/>
          <w:sz w:val="24"/>
          <w:szCs w:val="24"/>
        </w:rPr>
        <w:t>.</w:t>
      </w:r>
      <w:r w:rsidRPr="00206242">
        <w:rPr>
          <w:rStyle w:val="fontstyle01"/>
          <w:rFonts w:ascii="Times New Roman" w:hAnsi="Times New Roman" w:cs="Times New Roman"/>
          <w:b w:val="0"/>
          <w:bCs w:val="0"/>
          <w:sz w:val="24"/>
          <w:szCs w:val="24"/>
          <w:lang w:val="en-US"/>
        </w:rPr>
        <w:t>4</w:t>
      </w:r>
      <w:r w:rsidRPr="007762FE">
        <w:rPr>
          <w:rStyle w:val="fontstyle01"/>
          <w:rFonts w:ascii="Times New Roman" w:hAnsi="Times New Roman" w:cs="Times New Roman"/>
          <w:b w:val="0"/>
          <w:bCs w:val="0"/>
          <w:sz w:val="24"/>
          <w:szCs w:val="24"/>
        </w:rPr>
        <w:t xml:space="preserve">. </w:t>
      </w:r>
      <w:r w:rsidR="005263BD" w:rsidRPr="00206242">
        <w:rPr>
          <w:rStyle w:val="fontstyle01"/>
          <w:rFonts w:ascii="Times New Roman" w:hAnsi="Times New Roman" w:cs="Times New Roman"/>
          <w:b w:val="0"/>
          <w:bCs w:val="0"/>
          <w:sz w:val="24"/>
          <w:szCs w:val="24"/>
          <w:lang w:val="en-US"/>
        </w:rPr>
        <w:t>Critical Thinking Digital Skills</w:t>
      </w:r>
    </w:p>
    <w:p w14:paraId="2087BE63" w14:textId="2D5830AE" w:rsidR="00F45A6A" w:rsidRPr="00F45A6A" w:rsidRDefault="00F45A6A" w:rsidP="001E3A68">
      <w:pPr>
        <w:spacing w:after="0" w:line="276" w:lineRule="auto"/>
        <w:ind w:firstLine="720"/>
        <w:jc w:val="both"/>
        <w:rPr>
          <w:rFonts w:ascii="Times New Roman" w:hAnsi="Times New Roman" w:cs="Times New Roman"/>
          <w:sz w:val="24"/>
          <w:szCs w:val="24"/>
          <w:lang w:val="en-US"/>
        </w:rPr>
      </w:pPr>
      <w:r w:rsidRPr="00F45A6A">
        <w:rPr>
          <w:rFonts w:ascii="Times New Roman" w:hAnsi="Times New Roman" w:cs="Times New Roman"/>
          <w:sz w:val="24"/>
          <w:szCs w:val="24"/>
          <w:lang w:val="en-US"/>
        </w:rPr>
        <w:t xml:space="preserve">Critical thinking has been identified as a critical skill in the global digital environment. Students acquiring knowledge can search independently through the internet. However, not all online content contains the correct information, so students must be able to assess the information circulating critically. Students need to understand its nature and sources. The focus is on the quality of information relevant to the problems. It is essential for college students to filter incoming information online quickly and to extract valuable information </w:t>
      </w:r>
      <w:r>
        <w:rPr>
          <w:rFonts w:ascii="Times New Roman" w:hAnsi="Times New Roman" w:cs="Times New Roman"/>
          <w:sz w:val="24"/>
          <w:szCs w:val="24"/>
          <w:lang w:val="sv-SE"/>
        </w:rPr>
        <w:fldChar w:fldCharType="begin" w:fldLock="1"/>
      </w:r>
      <w:r w:rsidRPr="00F45A6A">
        <w:rPr>
          <w:rFonts w:ascii="Times New Roman" w:hAnsi="Times New Roman" w:cs="Times New Roman"/>
          <w:sz w:val="24"/>
          <w:szCs w:val="24"/>
          <w:lang w:val="en-US"/>
        </w:rPr>
        <w:instrText>ADDIN CSL_CITATION {"citationItems":[{"id":"ITEM-1","itemData":{"ISSN":"2289-2990","abstract":"The objective of the present study was to examine students' online information searching strategies, their cognitive absorption levels and the information pollution levels on the Internet based on different variables and to determine the correlation between these variables. The study was designed with the survey model, the study group included 198 students attending Computer Engineering and Computer Education and Instructional Technologies (CEIT) Departments in two universities located two cities in the Central Anatolian Region in 2016-2017 academic year fall semester. The data collection tools were Online Information Searching Strategy Inventory, Internet Information Pollution Scale and Cognitive Absorption Scale. In the study, it was found that the scores of the students related to these variables were above the average. It was also found in the study that there were low levels of positive correlations between the students' level of cognitive absorption and encountering information pollution on the Internet and online information searching strategies. Another finding was that male students' average score for online information searching strategies was higher than that of the female students. Furthermore, the common interaction between department and grade level variables based on the Internet information pollution scores was statistically significant.","author":[{"dropping-particle":"","family":"Kurt","given":"Adile Aşkım","non-dropping-particle":"","parse-names":false,"suffix":""},{"dropping-particle":"","family":"Emiroğlu","given":"Bülent Gürsel","non-dropping-particle":"","parse-names":false,"suffix":""}],"container-title":"Malaysia Online Journal of Educational Techology","id":"ITEM-1","issue":"1","issued":{"date-parts":[["2018"]]},"page":"18-29","title":"Analysis of students' online information searching strategies, exposure to internet information pollution and cognitive absorption levels based on various variables","type":"article-journal","volume":"6"},"uris":["http://www.mendeley.com/documents/?uuid=b7ba2feb-fbff-48d2-aeaf-23b484aa74e2"]}],"mendeley":{"formattedCitation":"(Kurt &amp; Emiroğlu, 2018)","plainTextFormattedCitation":"(Kurt &amp; Emiroğlu, 2018)","previouslyFormattedCitation":"(Kurt &amp; Emiroğlu, 2018)"},"properties":{"noteIndex":0},"schema":"https://github.com/citation-style-language/schema/raw/mast</w:instrText>
      </w:r>
      <w:r w:rsidRPr="00206242">
        <w:rPr>
          <w:rFonts w:ascii="Times New Roman" w:hAnsi="Times New Roman" w:cs="Times New Roman"/>
          <w:sz w:val="24"/>
          <w:szCs w:val="24"/>
          <w:lang w:val="en-US"/>
        </w:rPr>
        <w:instrText>er/csl-citation.json"}</w:instrText>
      </w:r>
      <w:r>
        <w:rPr>
          <w:rFonts w:ascii="Times New Roman" w:hAnsi="Times New Roman" w:cs="Times New Roman"/>
          <w:sz w:val="24"/>
          <w:szCs w:val="24"/>
          <w:lang w:val="sv-SE"/>
        </w:rPr>
        <w:fldChar w:fldCharType="separate"/>
      </w:r>
      <w:r w:rsidRPr="00206242">
        <w:rPr>
          <w:rFonts w:ascii="Times New Roman" w:hAnsi="Times New Roman" w:cs="Times New Roman"/>
          <w:noProof/>
          <w:sz w:val="24"/>
          <w:szCs w:val="24"/>
          <w:lang w:val="en-US"/>
        </w:rPr>
        <w:t>(Kurt &amp; Emiroğlu, 2018)</w:t>
      </w:r>
      <w:r>
        <w:rPr>
          <w:rFonts w:ascii="Times New Roman" w:hAnsi="Times New Roman" w:cs="Times New Roman"/>
          <w:sz w:val="24"/>
          <w:szCs w:val="24"/>
          <w:lang w:val="sv-SE"/>
        </w:rPr>
        <w:fldChar w:fldCharType="end"/>
      </w:r>
      <w:r w:rsidRPr="00F45A6A">
        <w:rPr>
          <w:rFonts w:ascii="Times New Roman" w:hAnsi="Times New Roman" w:cs="Times New Roman"/>
          <w:sz w:val="24"/>
          <w:szCs w:val="24"/>
          <w:lang w:val="en-US"/>
        </w:rPr>
        <w:t>. Students must be able to encourage critical reflection on points being discussed online and provide ongoing arguments that lead to online discussions.</w:t>
      </w:r>
    </w:p>
    <w:p w14:paraId="0632F50D" w14:textId="19117CBF" w:rsidR="0028023C" w:rsidRDefault="0028023C" w:rsidP="00F45A6A">
      <w:pPr>
        <w:spacing w:after="0" w:line="276" w:lineRule="auto"/>
        <w:ind w:firstLine="720"/>
        <w:jc w:val="both"/>
        <w:rPr>
          <w:rFonts w:ascii="Times New Roman" w:hAnsi="Times New Roman" w:cs="Times New Roman"/>
          <w:color w:val="000000" w:themeColor="text1"/>
          <w:sz w:val="24"/>
          <w:szCs w:val="24"/>
          <w:lang w:val="en-US"/>
        </w:rPr>
      </w:pPr>
      <w:r w:rsidRPr="0028023C">
        <w:rPr>
          <w:rFonts w:ascii="Times New Roman" w:hAnsi="Times New Roman" w:cs="Times New Roman"/>
          <w:color w:val="000000" w:themeColor="text1"/>
          <w:sz w:val="24"/>
          <w:szCs w:val="24"/>
          <w:lang w:val="en-US"/>
        </w:rPr>
        <w:t xml:space="preserve">Based on the Cambridge Assessment taxonomy, critical thinking skills consist of five indicators: analysis, evaluation, inference, synthesis, and self-regulation </w:t>
      </w:r>
      <w:r w:rsidRPr="00663F0E">
        <w:rPr>
          <w:rFonts w:ascii="Times New Roman" w:hAnsi="Times New Roman" w:cs="Times New Roman"/>
          <w:color w:val="000000" w:themeColor="text1"/>
          <w:sz w:val="24"/>
          <w:szCs w:val="24"/>
          <w:lang w:val="sv-SE"/>
        </w:rPr>
        <w:fldChar w:fldCharType="begin" w:fldLock="1"/>
      </w:r>
      <w:r w:rsidRPr="00F45A6A">
        <w:rPr>
          <w:rFonts w:ascii="Times New Roman" w:hAnsi="Times New Roman" w:cs="Times New Roman"/>
          <w:color w:val="000000" w:themeColor="text1"/>
          <w:sz w:val="24"/>
          <w:szCs w:val="24"/>
          <w:lang w:val="en-US"/>
        </w:rPr>
        <w:instrText>ADDIN CSL_CITATION {"citationItems":[{"id":"ITEM-1","itemData":{"DOI":"10.1016/j.tsc.2012.04.003","ISSN":"18711871","abstract":"Cambridge Assessment has more than 20 years experience in assessing Critical Thinking (CT) in a number of diverse tests and qualifications, unrivalled by any other body within the UK. In recent years, a number of research activities have been carried out in order to support these assessments, with a focus on the validity of measurement. This paper will describe the programme of work, related to four areas of research: (1) to derive a definition, taxonomy and glossary of CT and the importance of such work not just for test design but also for syllabus design and question setting; (2) to survey the practical issues surrounding teaching CT in schools, the experiences and perceptions of teachers; (3) to examine the impact of taking A/AS levels in CT on students' performance in their other A-level subjects; and (4) to examine the predictive validity of HE admissions tests containing CT on subsequent university exams and degree performance. Finally, the paper will discuss how these research activities contribute to the validity of CT tests and qualifications. © 2012 Elsevier Ltd.","author":[{"dropping-particle":"","family":"Black","given":"Beth","non-dropping-particle":"","parse-names":false,"suffix":""}],"container-title":"Thinking Skills and Creativity","id":"ITEM-1","issue":"2","issued":{"date-parts":[["2012"]]},"page":"122-133","publisher":"Elsevier Ltd","title":"An overview of a programme of research to support the assessment of Critical Thinking","type":"article-journal","volume":"7"},"uris":["http://www.mendeley.com/documents/?uuid=8c3f80eb-a345-4637-9414-03c6aa654f72"]}],"mendeley":{"formattedCitation":"(Black, 2012)","plainTextFormattedCitation":"(Black, 2012)","previouslyFormattedCitation":"(Black, 2012)"},"properties":{"noteIndex":0},"schema":"https://github.com/citation-style-language/schema/raw/master/csl-citation.json"}</w:instrText>
      </w:r>
      <w:r w:rsidRPr="00663F0E">
        <w:rPr>
          <w:rFonts w:ascii="Times New Roman" w:hAnsi="Times New Roman" w:cs="Times New Roman"/>
          <w:color w:val="000000" w:themeColor="text1"/>
          <w:sz w:val="24"/>
          <w:szCs w:val="24"/>
          <w:lang w:val="sv-SE"/>
        </w:rPr>
        <w:fldChar w:fldCharType="separate"/>
      </w:r>
      <w:r w:rsidRPr="00F45A6A">
        <w:rPr>
          <w:rFonts w:ascii="Times New Roman" w:hAnsi="Times New Roman" w:cs="Times New Roman"/>
          <w:noProof/>
          <w:color w:val="000000" w:themeColor="text1"/>
          <w:sz w:val="24"/>
          <w:szCs w:val="24"/>
          <w:lang w:val="en-US"/>
        </w:rPr>
        <w:t>(Black, 2012)</w:t>
      </w:r>
      <w:r w:rsidRPr="00663F0E">
        <w:rPr>
          <w:rFonts w:ascii="Times New Roman" w:hAnsi="Times New Roman" w:cs="Times New Roman"/>
          <w:color w:val="000000" w:themeColor="text1"/>
          <w:sz w:val="24"/>
          <w:szCs w:val="24"/>
          <w:lang w:val="sv-SE"/>
        </w:rPr>
        <w:fldChar w:fldCharType="end"/>
      </w:r>
      <w:r w:rsidRPr="0028023C">
        <w:rPr>
          <w:rFonts w:ascii="Times New Roman" w:hAnsi="Times New Roman" w:cs="Times New Roman"/>
          <w:color w:val="000000" w:themeColor="text1"/>
          <w:sz w:val="24"/>
          <w:szCs w:val="24"/>
          <w:lang w:val="en-US"/>
        </w:rPr>
        <w:t xml:space="preserve">. Sub-indicators of the analysis: using inductive and deductive reasoning, identifying arguments, analyzing arguments, identifying the structure of information or argument, analyzing incomplete arguments, and clarifying. Sub-indicators of evaluation: assessing the adequacy of an argument or information, assessing the level of meaningfulness, assessing reliability, assessing feasibility, </w:t>
      </w:r>
      <w:r w:rsidRPr="0028023C">
        <w:rPr>
          <w:rFonts w:ascii="Times New Roman" w:hAnsi="Times New Roman" w:cs="Times New Roman"/>
          <w:color w:val="000000" w:themeColor="text1"/>
          <w:sz w:val="24"/>
          <w:szCs w:val="24"/>
          <w:lang w:val="en-US"/>
        </w:rPr>
        <w:lastRenderedPageBreak/>
        <w:t>assessing analogies, identifying errors in arguments, assessing the truth of arguments, and considering the impact of an argument. Sub-indicators of inference: Consider the implications of the arguments and draw conclusions correctly. Sub-indicators of synthesis: selecting material relevant to the argument, compiling arguments according to the information received, determining further arguments, making decisions based on objective assessments, responding to a problem, and justifying or making the right decision. Self-regulation has the sub-skills of questioning one's preconceptions and careful and persistent evaluation of one's reasoning.</w:t>
      </w:r>
    </w:p>
    <w:p w14:paraId="1BBE54A9" w14:textId="121F45A4" w:rsidR="00F45A6A" w:rsidRPr="00F45A6A" w:rsidRDefault="00F45A6A" w:rsidP="00F45A6A">
      <w:pPr>
        <w:spacing w:after="0" w:line="276" w:lineRule="auto"/>
        <w:ind w:firstLine="720"/>
        <w:jc w:val="both"/>
        <w:rPr>
          <w:rFonts w:ascii="Times New Roman" w:hAnsi="Times New Roman" w:cs="Times New Roman"/>
          <w:color w:val="000000" w:themeColor="text1"/>
          <w:sz w:val="24"/>
          <w:szCs w:val="24"/>
          <w:lang w:val="en-US"/>
        </w:rPr>
      </w:pPr>
      <w:r w:rsidRPr="00F45A6A">
        <w:rPr>
          <w:rFonts w:ascii="Times New Roman" w:hAnsi="Times New Roman" w:cs="Times New Roman"/>
          <w:color w:val="000000" w:themeColor="text1"/>
          <w:sz w:val="24"/>
          <w:szCs w:val="24"/>
          <w:lang w:val="en-US"/>
        </w:rPr>
        <w:t xml:space="preserve">The Partnership for the 21st Century also identified indicators of critical thinking skills, including using various types of reasoning, analyzing interactions between variables, analyzing arguments, assessing, examining ideas, interpreting information, drawing conclusions, clarifying information, synthesizing, building arguments, and reflecting critically to an input </w:t>
      </w:r>
      <w:r>
        <w:rPr>
          <w:rFonts w:ascii="Times New Roman" w:hAnsi="Times New Roman" w:cs="Times New Roman"/>
          <w:color w:val="000000" w:themeColor="text1"/>
          <w:sz w:val="24"/>
          <w:szCs w:val="24"/>
          <w:lang w:val="sv-SE"/>
        </w:rPr>
        <w:fldChar w:fldCharType="begin" w:fldLock="1"/>
      </w:r>
      <w:r w:rsidRPr="00F45A6A">
        <w:rPr>
          <w:rFonts w:ascii="Times New Roman" w:hAnsi="Times New Roman" w:cs="Times New Roman"/>
          <w:color w:val="000000" w:themeColor="text1"/>
          <w:sz w:val="24"/>
          <w:szCs w:val="24"/>
          <w:lang w:val="en-US"/>
        </w:rPr>
        <w:instrText>ADDIN CSL_CITATION {"citationItems":[{"id":"ITEM-1","itemData":{"ISBN":"9789400723238","abstract":"ATC21S is a system enabling formative assessment of Collaborative Problem Solving. ATC21S™ has been designed to support the development of social and cognitive skills needed to become a good collaborative problem solver","author":[{"dropping-particle":"","family":"Binkley","given":"Marilyn","non-dropping-particle":"","parse-names":false,"suffix":""},{"dropping-particle":"","family":"Erstad","given":"Ola","non-dropping-particle":"","parse-names":false,"suffix":""},{"dropping-particle":"","family":"Herman","given":"Joan","non-dropping-particle":"","parse-names":false,"suffix":""},{"dropping-particle":"","family":"Ripley","given":"Martin","non-dropping-particle":"","parse-names":false,"suffix":""},{"dropping-particle":"","family":"Rumble","given":"Mike","non-dropping-particle":"","parse-names":false,"suffix":""},{"dropping-particle":"","family":"Miller-Ricci","given":"May","non-dropping-particle":"","parse-names":false,"suffix":""}],"container-title":"Griffin, P., McGaw, B., Care, E. (eds) Assessment and Teaching of 21st Century Skills","id":"ITEM-1","issued":{"date-parts":[["2012"]]},"publisher":"Springer","title":"Assessment and Teaching of 21st Century Skills (ATC21S)","type":"chapter"},"uris":["http://www.mendeley.com/documents/?uuid=071a4e68-77bc-4097-a243-d607967e68c1"]}],"mendeley":{"formattedCitation":"(Binkley et al., 2012)","plainTextFormattedCitation":"(Binkley et al., 2012)","previouslyFormattedCitation":"(Binkley et al., 2012)"},"properties":{"noteIndex":0},"schema":"https://github.com/citation-style-language/schema/raw/master/csl-citation.json"}</w:instrText>
      </w:r>
      <w:r>
        <w:rPr>
          <w:rFonts w:ascii="Times New Roman" w:hAnsi="Times New Roman" w:cs="Times New Roman"/>
          <w:color w:val="000000" w:themeColor="text1"/>
          <w:sz w:val="24"/>
          <w:szCs w:val="24"/>
          <w:lang w:val="sv-SE"/>
        </w:rPr>
        <w:fldChar w:fldCharType="separate"/>
      </w:r>
      <w:r w:rsidRPr="00F45A6A">
        <w:rPr>
          <w:rFonts w:ascii="Times New Roman" w:hAnsi="Times New Roman" w:cs="Times New Roman"/>
          <w:noProof/>
          <w:color w:val="000000" w:themeColor="text1"/>
          <w:sz w:val="24"/>
          <w:szCs w:val="24"/>
          <w:lang w:val="en-US"/>
        </w:rPr>
        <w:t>(Binkley et al., 2012)</w:t>
      </w:r>
      <w:r>
        <w:rPr>
          <w:rFonts w:ascii="Times New Roman" w:hAnsi="Times New Roman" w:cs="Times New Roman"/>
          <w:color w:val="000000" w:themeColor="text1"/>
          <w:sz w:val="24"/>
          <w:szCs w:val="24"/>
          <w:lang w:val="sv-SE"/>
        </w:rPr>
        <w:fldChar w:fldCharType="end"/>
      </w:r>
      <w:r w:rsidRPr="00F45A6A">
        <w:rPr>
          <w:rFonts w:ascii="Times New Roman" w:hAnsi="Times New Roman" w:cs="Times New Roman"/>
          <w:color w:val="000000" w:themeColor="text1"/>
          <w:sz w:val="24"/>
          <w:szCs w:val="24"/>
          <w:lang w:val="en-US"/>
        </w:rPr>
        <w:t>.</w:t>
      </w:r>
    </w:p>
    <w:p w14:paraId="13EEE4F1" w14:textId="77777777" w:rsidR="001E3A68" w:rsidRPr="0095418E" w:rsidRDefault="001E3A68" w:rsidP="001E3A68">
      <w:pPr>
        <w:spacing w:after="0" w:line="276" w:lineRule="auto"/>
        <w:ind w:firstLine="720"/>
        <w:jc w:val="both"/>
        <w:rPr>
          <w:rFonts w:ascii="Times New Roman" w:hAnsi="Times New Roman" w:cs="Times New Roman"/>
          <w:sz w:val="24"/>
          <w:szCs w:val="24"/>
        </w:rPr>
      </w:pPr>
    </w:p>
    <w:p w14:paraId="5E718B34" w14:textId="721EADFD" w:rsidR="007762FE" w:rsidRPr="00806131" w:rsidRDefault="007762FE" w:rsidP="007762FE">
      <w:pPr>
        <w:spacing w:after="0" w:line="276" w:lineRule="auto"/>
        <w:rPr>
          <w:rFonts w:ascii="Times New Roman" w:hAnsi="Times New Roman" w:cs="Times New Roman"/>
          <w:b/>
          <w:bCs/>
          <w:sz w:val="24"/>
          <w:szCs w:val="24"/>
          <w:lang w:val="en-US"/>
        </w:rPr>
      </w:pPr>
      <w:r w:rsidRPr="00451C94">
        <w:rPr>
          <w:rFonts w:ascii="Times New Roman" w:hAnsi="Times New Roman" w:cs="Times New Roman"/>
          <w:b/>
          <w:bCs/>
          <w:sz w:val="24"/>
          <w:szCs w:val="24"/>
        </w:rPr>
        <w:t>3.</w:t>
      </w:r>
      <w:r w:rsidRPr="00393CD3">
        <w:rPr>
          <w:rFonts w:ascii="Times New Roman" w:hAnsi="Times New Roman" w:cs="Times New Roman"/>
          <w:b/>
          <w:bCs/>
          <w:sz w:val="24"/>
          <w:szCs w:val="24"/>
          <w:lang w:val="en-US"/>
        </w:rPr>
        <w:t>2</w:t>
      </w:r>
      <w:r w:rsidRPr="00451C94">
        <w:rPr>
          <w:rFonts w:ascii="Times New Roman" w:hAnsi="Times New Roman" w:cs="Times New Roman"/>
          <w:b/>
          <w:bCs/>
          <w:sz w:val="24"/>
          <w:szCs w:val="24"/>
        </w:rPr>
        <w:t xml:space="preserve">.  </w:t>
      </w:r>
      <w:r w:rsidR="00806131" w:rsidRPr="00806131">
        <w:rPr>
          <w:rFonts w:ascii="Times New Roman" w:hAnsi="Times New Roman" w:cs="Times New Roman"/>
          <w:b/>
          <w:bCs/>
          <w:sz w:val="24"/>
          <w:szCs w:val="24"/>
          <w:lang w:val="en-US"/>
        </w:rPr>
        <w:t>Analysis of 4C Digital Skills for Department of Physics Education UNSIQ</w:t>
      </w:r>
    </w:p>
    <w:p w14:paraId="0F417D53" w14:textId="2598B1AD" w:rsidR="007762FE" w:rsidRPr="00806131" w:rsidRDefault="00806131" w:rsidP="007762FE">
      <w:pPr>
        <w:spacing w:after="0" w:line="276" w:lineRule="auto"/>
        <w:ind w:firstLine="720"/>
        <w:jc w:val="both"/>
        <w:rPr>
          <w:rFonts w:ascii="Times New Roman" w:hAnsi="Times New Roman" w:cs="Times New Roman"/>
          <w:sz w:val="24"/>
          <w:szCs w:val="24"/>
          <w:lang w:val="en-US"/>
        </w:rPr>
      </w:pPr>
      <w:r w:rsidRPr="00806131">
        <w:rPr>
          <w:rFonts w:ascii="Times New Roman" w:hAnsi="Times New Roman" w:cs="Times New Roman"/>
          <w:sz w:val="24"/>
          <w:szCs w:val="24"/>
          <w:lang w:val="en-US"/>
        </w:rPr>
        <w:t>Based on the results of a survey of students in the UNSIQ Physics Education department, the 4C digital skill results were obtained, which are presented in Table 2 below.</w:t>
      </w:r>
    </w:p>
    <w:p w14:paraId="28BED9E6" w14:textId="77777777" w:rsidR="00C45233" w:rsidRPr="00806131" w:rsidRDefault="00C45233" w:rsidP="007762FE">
      <w:pPr>
        <w:spacing w:after="0" w:line="276" w:lineRule="auto"/>
        <w:ind w:firstLine="720"/>
        <w:jc w:val="both"/>
        <w:rPr>
          <w:rFonts w:ascii="Times New Roman" w:hAnsi="Times New Roman" w:cs="Times New Roman"/>
          <w:sz w:val="24"/>
          <w:szCs w:val="24"/>
          <w:lang w:val="en-US"/>
        </w:rPr>
      </w:pPr>
    </w:p>
    <w:p w14:paraId="278472AE" w14:textId="0A4E3BCB" w:rsidR="00EE536C" w:rsidRPr="00806131" w:rsidRDefault="00C45233" w:rsidP="00C45233">
      <w:pPr>
        <w:spacing w:after="0" w:line="276" w:lineRule="auto"/>
        <w:jc w:val="center"/>
        <w:rPr>
          <w:rFonts w:ascii="Times New Roman" w:hAnsi="Times New Roman" w:cs="Times New Roman"/>
          <w:sz w:val="24"/>
          <w:szCs w:val="24"/>
          <w:lang w:val="en-US"/>
        </w:rPr>
      </w:pPr>
      <w:r w:rsidRPr="00806131">
        <w:rPr>
          <w:rFonts w:ascii="Times New Roman" w:hAnsi="Times New Roman" w:cs="Times New Roman"/>
          <w:sz w:val="24"/>
          <w:szCs w:val="24"/>
          <w:lang w:val="en-US"/>
        </w:rPr>
        <w:t>Tabl</w:t>
      </w:r>
      <w:r w:rsidR="00806131" w:rsidRPr="00806131">
        <w:rPr>
          <w:rFonts w:ascii="Times New Roman" w:hAnsi="Times New Roman" w:cs="Times New Roman"/>
          <w:sz w:val="24"/>
          <w:szCs w:val="24"/>
          <w:lang w:val="en-US"/>
        </w:rPr>
        <w:t>e</w:t>
      </w:r>
      <w:r w:rsidRPr="00806131">
        <w:rPr>
          <w:rFonts w:ascii="Times New Roman" w:hAnsi="Times New Roman" w:cs="Times New Roman"/>
          <w:sz w:val="24"/>
          <w:szCs w:val="24"/>
          <w:lang w:val="en-US"/>
        </w:rPr>
        <w:t xml:space="preserve"> 2. </w:t>
      </w:r>
      <w:r w:rsidR="00806131" w:rsidRPr="00806131">
        <w:rPr>
          <w:rFonts w:ascii="Times New Roman" w:hAnsi="Times New Roman" w:cs="Times New Roman"/>
          <w:sz w:val="24"/>
          <w:szCs w:val="24"/>
          <w:lang w:val="en-US"/>
        </w:rPr>
        <w:t>Result of 4C digital skill</w:t>
      </w:r>
      <w:r w:rsidR="00806131">
        <w:rPr>
          <w:rFonts w:ascii="Times New Roman" w:hAnsi="Times New Roman" w:cs="Times New Roman"/>
          <w:sz w:val="24"/>
          <w:szCs w:val="24"/>
          <w:lang w:val="en-US"/>
        </w:rPr>
        <w:t>s</w:t>
      </w:r>
    </w:p>
    <w:tbl>
      <w:tblPr>
        <w:tblStyle w:val="TableGrid1"/>
        <w:tblW w:w="5000" w:type="pct"/>
        <w:tblLook w:val="04A0" w:firstRow="1" w:lastRow="0" w:firstColumn="1" w:lastColumn="0" w:noHBand="0" w:noVBand="1"/>
      </w:tblPr>
      <w:tblGrid>
        <w:gridCol w:w="625"/>
        <w:gridCol w:w="3241"/>
        <w:gridCol w:w="3638"/>
        <w:gridCol w:w="1843"/>
      </w:tblGrid>
      <w:tr w:rsidR="00A73556" w:rsidRPr="00A73556" w14:paraId="5A36598F" w14:textId="65F8BBB3" w:rsidTr="00C45233">
        <w:tc>
          <w:tcPr>
            <w:tcW w:w="334" w:type="pct"/>
            <w:shd w:val="clear" w:color="auto" w:fill="EDEDED" w:themeFill="accent3" w:themeFillTint="33"/>
          </w:tcPr>
          <w:p w14:paraId="34553EF0" w14:textId="33E8453D" w:rsidR="00A73556" w:rsidRPr="00A73556" w:rsidRDefault="00C45233" w:rsidP="005F545A">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733" w:type="pct"/>
            <w:shd w:val="clear" w:color="auto" w:fill="EDEDED" w:themeFill="accent3" w:themeFillTint="33"/>
          </w:tcPr>
          <w:p w14:paraId="3E9BFDFD" w14:textId="4FACF386" w:rsidR="00A73556" w:rsidRPr="00806131" w:rsidRDefault="00806131" w:rsidP="005F545A">
            <w:pPr>
              <w:spacing w:line="276" w:lineRule="auto"/>
              <w:jc w:val="center"/>
              <w:rPr>
                <w:rFonts w:ascii="Times New Roman" w:hAnsi="Times New Roman" w:cs="Times New Roman"/>
                <w:b/>
                <w:bCs/>
                <w:sz w:val="24"/>
                <w:szCs w:val="24"/>
                <w:lang w:val="en-US"/>
              </w:rPr>
            </w:pPr>
            <w:r w:rsidRPr="00806131">
              <w:rPr>
                <w:rFonts w:ascii="Times New Roman" w:hAnsi="Times New Roman" w:cs="Times New Roman"/>
                <w:b/>
                <w:bCs/>
                <w:sz w:val="24"/>
                <w:szCs w:val="24"/>
                <w:lang w:val="en-US"/>
              </w:rPr>
              <w:t>4C digital skills</w:t>
            </w:r>
          </w:p>
        </w:tc>
        <w:tc>
          <w:tcPr>
            <w:tcW w:w="1946" w:type="pct"/>
            <w:shd w:val="clear" w:color="auto" w:fill="EDEDED" w:themeFill="accent3" w:themeFillTint="33"/>
          </w:tcPr>
          <w:p w14:paraId="68D3A2AB" w14:textId="2571682C" w:rsidR="00A73556" w:rsidRPr="00A73556" w:rsidRDefault="00806131" w:rsidP="005F545A">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Indicator</w:t>
            </w:r>
          </w:p>
        </w:tc>
        <w:tc>
          <w:tcPr>
            <w:tcW w:w="986" w:type="pct"/>
            <w:shd w:val="clear" w:color="auto" w:fill="EDEDED" w:themeFill="accent3" w:themeFillTint="33"/>
          </w:tcPr>
          <w:p w14:paraId="1245A982" w14:textId="773F1697" w:rsidR="00A73556" w:rsidRDefault="00806131" w:rsidP="005F545A">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Score</w:t>
            </w:r>
          </w:p>
        </w:tc>
      </w:tr>
      <w:tr w:rsidR="00C45233" w:rsidRPr="00A73556" w14:paraId="035D2973" w14:textId="15848DC9" w:rsidTr="00C45233">
        <w:tc>
          <w:tcPr>
            <w:tcW w:w="334" w:type="pct"/>
            <w:vMerge w:val="restart"/>
          </w:tcPr>
          <w:p w14:paraId="02C8761D" w14:textId="0A03ACDD" w:rsidR="00C45233" w:rsidRPr="00A73556" w:rsidRDefault="00C45233" w:rsidP="005F545A">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33" w:type="pct"/>
            <w:vMerge w:val="restart"/>
          </w:tcPr>
          <w:p w14:paraId="1834316E" w14:textId="3C491704" w:rsidR="00C45233" w:rsidRPr="00A73556" w:rsidRDefault="00C45233" w:rsidP="005F545A">
            <w:pPr>
              <w:autoSpaceDE w:val="0"/>
              <w:autoSpaceDN w:val="0"/>
              <w:adjustRightInd w:val="0"/>
              <w:spacing w:line="276" w:lineRule="auto"/>
              <w:rPr>
                <w:rFonts w:ascii="Times New Roman" w:hAnsi="Times New Roman" w:cs="Times New Roman"/>
                <w:sz w:val="24"/>
                <w:szCs w:val="24"/>
                <w:lang w:val="en-US"/>
              </w:rPr>
            </w:pPr>
            <w:r w:rsidRPr="005263BD">
              <w:rPr>
                <w:rStyle w:val="fontstyle01"/>
                <w:rFonts w:ascii="Times New Roman" w:hAnsi="Times New Roman" w:cs="Times New Roman"/>
                <w:b w:val="0"/>
                <w:bCs w:val="0"/>
                <w:sz w:val="24"/>
                <w:szCs w:val="24"/>
                <w:lang w:val="sv-SE"/>
              </w:rPr>
              <w:t>Critical Thinking Digital Skills</w:t>
            </w:r>
          </w:p>
        </w:tc>
        <w:tc>
          <w:tcPr>
            <w:tcW w:w="1946" w:type="pct"/>
          </w:tcPr>
          <w:p w14:paraId="1C470F1D" w14:textId="1130B081" w:rsidR="00C45233" w:rsidRPr="00A73556" w:rsidRDefault="00806131" w:rsidP="005F545A">
            <w:pPr>
              <w:autoSpaceDE w:val="0"/>
              <w:autoSpaceDN w:val="0"/>
              <w:adjustRightInd w:val="0"/>
              <w:spacing w:line="276" w:lineRule="auto"/>
              <w:rPr>
                <w:rFonts w:ascii="Times New Roman" w:hAnsi="Times New Roman" w:cs="Times New Roman"/>
                <w:sz w:val="24"/>
                <w:szCs w:val="24"/>
                <w:lang w:val="en-US"/>
              </w:rPr>
            </w:pPr>
            <w:r w:rsidRPr="00806131">
              <w:rPr>
                <w:rFonts w:ascii="Times New Roman" w:hAnsi="Times New Roman" w:cs="Times New Roman"/>
                <w:sz w:val="24"/>
                <w:szCs w:val="24"/>
                <w:lang w:val="en-US"/>
              </w:rPr>
              <w:t>Analysis</w:t>
            </w:r>
          </w:p>
        </w:tc>
        <w:tc>
          <w:tcPr>
            <w:tcW w:w="986" w:type="pct"/>
          </w:tcPr>
          <w:p w14:paraId="19401C48" w14:textId="1BFAA0A1" w:rsidR="00C45233" w:rsidRPr="00A73556" w:rsidRDefault="00193218" w:rsidP="005F545A">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70,5%</w:t>
            </w:r>
          </w:p>
        </w:tc>
      </w:tr>
      <w:tr w:rsidR="00C45233" w:rsidRPr="00A73556" w14:paraId="575F9922" w14:textId="4B89BBD7" w:rsidTr="00C45233">
        <w:tc>
          <w:tcPr>
            <w:tcW w:w="334" w:type="pct"/>
            <w:vMerge/>
          </w:tcPr>
          <w:p w14:paraId="32E4EB9B" w14:textId="77777777" w:rsidR="00C45233" w:rsidRPr="00A73556" w:rsidRDefault="00C45233" w:rsidP="005F545A">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6154F7CF" w14:textId="77777777" w:rsidR="00C45233" w:rsidRPr="00A73556" w:rsidRDefault="00C45233" w:rsidP="005F545A">
            <w:pPr>
              <w:autoSpaceDE w:val="0"/>
              <w:autoSpaceDN w:val="0"/>
              <w:adjustRightInd w:val="0"/>
              <w:spacing w:line="276" w:lineRule="auto"/>
              <w:rPr>
                <w:rFonts w:ascii="Times New Roman" w:hAnsi="Times New Roman" w:cs="Times New Roman"/>
                <w:sz w:val="24"/>
                <w:szCs w:val="24"/>
                <w:lang w:val="en-US"/>
              </w:rPr>
            </w:pPr>
          </w:p>
        </w:tc>
        <w:tc>
          <w:tcPr>
            <w:tcW w:w="1946" w:type="pct"/>
          </w:tcPr>
          <w:p w14:paraId="56A75C70" w14:textId="0B5FEE98" w:rsidR="00C45233" w:rsidRPr="00A73556" w:rsidRDefault="00806131" w:rsidP="005F545A">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lang w:val="en-US"/>
              </w:rPr>
              <w:t>Synthesis</w:t>
            </w:r>
          </w:p>
        </w:tc>
        <w:tc>
          <w:tcPr>
            <w:tcW w:w="986" w:type="pct"/>
          </w:tcPr>
          <w:p w14:paraId="7DF7FE18" w14:textId="10D9E53A" w:rsidR="00C45233" w:rsidRPr="00A73556" w:rsidRDefault="00193218" w:rsidP="005F545A">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64,2%</w:t>
            </w:r>
          </w:p>
        </w:tc>
      </w:tr>
      <w:tr w:rsidR="00806131" w:rsidRPr="00A73556" w14:paraId="38AAA7CC" w14:textId="2DDBDA80" w:rsidTr="00C45233">
        <w:tc>
          <w:tcPr>
            <w:tcW w:w="334" w:type="pct"/>
            <w:vMerge/>
          </w:tcPr>
          <w:p w14:paraId="1E8C688A"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6DF3BEB6"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en-US"/>
              </w:rPr>
            </w:pPr>
          </w:p>
        </w:tc>
        <w:tc>
          <w:tcPr>
            <w:tcW w:w="1946" w:type="pct"/>
          </w:tcPr>
          <w:p w14:paraId="1749E275" w14:textId="417F4D3F"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Inference</w:t>
            </w:r>
          </w:p>
        </w:tc>
        <w:tc>
          <w:tcPr>
            <w:tcW w:w="986" w:type="pct"/>
          </w:tcPr>
          <w:p w14:paraId="665A3D09" w14:textId="639F9DD3"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62,8%</w:t>
            </w:r>
          </w:p>
        </w:tc>
      </w:tr>
      <w:tr w:rsidR="00806131" w:rsidRPr="00A73556" w14:paraId="1A7EFBFF" w14:textId="2EE4689F" w:rsidTr="00C45233">
        <w:tc>
          <w:tcPr>
            <w:tcW w:w="334" w:type="pct"/>
            <w:vMerge/>
          </w:tcPr>
          <w:p w14:paraId="29DADE63"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en-US"/>
              </w:rPr>
            </w:pPr>
          </w:p>
        </w:tc>
        <w:tc>
          <w:tcPr>
            <w:tcW w:w="1733" w:type="pct"/>
            <w:vMerge/>
          </w:tcPr>
          <w:p w14:paraId="7C743B27"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en-US"/>
              </w:rPr>
            </w:pPr>
          </w:p>
        </w:tc>
        <w:tc>
          <w:tcPr>
            <w:tcW w:w="1946" w:type="pct"/>
          </w:tcPr>
          <w:p w14:paraId="693E9CA4" w14:textId="1C0753E2" w:rsidR="00806131" w:rsidRPr="00806131" w:rsidRDefault="00806131" w:rsidP="00806131">
            <w:pPr>
              <w:autoSpaceDE w:val="0"/>
              <w:autoSpaceDN w:val="0"/>
              <w:adjustRightInd w:val="0"/>
              <w:spacing w:line="276" w:lineRule="auto"/>
              <w:rPr>
                <w:rFonts w:ascii="Times New Roman" w:hAnsi="Times New Roman" w:cs="Times New Roman"/>
                <w:sz w:val="24"/>
                <w:szCs w:val="24"/>
                <w:lang w:val="en-US"/>
              </w:rPr>
            </w:pPr>
            <w:r w:rsidRPr="00806131">
              <w:rPr>
                <w:rFonts w:ascii="Times New Roman" w:hAnsi="Times New Roman" w:cs="Times New Roman"/>
                <w:sz w:val="24"/>
                <w:szCs w:val="24"/>
              </w:rPr>
              <w:t>Evaluation</w:t>
            </w:r>
          </w:p>
        </w:tc>
        <w:tc>
          <w:tcPr>
            <w:tcW w:w="986" w:type="pct"/>
          </w:tcPr>
          <w:p w14:paraId="0B8E7A40" w14:textId="0CC03AB0"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60,4%</w:t>
            </w:r>
          </w:p>
        </w:tc>
      </w:tr>
      <w:tr w:rsidR="00806131" w:rsidRPr="00A73556" w14:paraId="0ED78BD0" w14:textId="73F49E99" w:rsidTr="00C45233">
        <w:tc>
          <w:tcPr>
            <w:tcW w:w="334" w:type="pct"/>
            <w:vMerge/>
          </w:tcPr>
          <w:p w14:paraId="20AB62C8"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49DA6D91"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47CD11CC" w14:textId="3F60ABFC"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Self regulation</w:t>
            </w:r>
          </w:p>
        </w:tc>
        <w:tc>
          <w:tcPr>
            <w:tcW w:w="986" w:type="pct"/>
          </w:tcPr>
          <w:p w14:paraId="0A753A03" w14:textId="2EBF8CC3"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50,4%</w:t>
            </w:r>
          </w:p>
        </w:tc>
      </w:tr>
      <w:tr w:rsidR="00C45233" w:rsidRPr="00E900AB" w14:paraId="0D3FBEA7" w14:textId="4E3F4441" w:rsidTr="00C45233">
        <w:tc>
          <w:tcPr>
            <w:tcW w:w="334" w:type="pct"/>
            <w:vMerge w:val="restart"/>
          </w:tcPr>
          <w:p w14:paraId="20487B5F" w14:textId="4BBC4E39" w:rsidR="00C45233" w:rsidRPr="00A73556" w:rsidRDefault="00C45233" w:rsidP="005F545A">
            <w:pPr>
              <w:autoSpaceDE w:val="0"/>
              <w:autoSpaceDN w:val="0"/>
              <w:adjustRightInd w:val="0"/>
              <w:spacing w:line="276"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1733" w:type="pct"/>
            <w:vMerge w:val="restart"/>
          </w:tcPr>
          <w:p w14:paraId="28312EB1" w14:textId="76416621" w:rsidR="00C45233" w:rsidRPr="00A73556" w:rsidRDefault="00C45233" w:rsidP="005F545A">
            <w:pPr>
              <w:autoSpaceDE w:val="0"/>
              <w:autoSpaceDN w:val="0"/>
              <w:adjustRightInd w:val="0"/>
              <w:spacing w:line="276" w:lineRule="auto"/>
              <w:rPr>
                <w:rFonts w:ascii="Times New Roman" w:hAnsi="Times New Roman" w:cs="Times New Roman"/>
                <w:sz w:val="24"/>
                <w:szCs w:val="24"/>
                <w:lang w:val="sv-SE"/>
              </w:rPr>
            </w:pPr>
            <w:r w:rsidRPr="005263BD">
              <w:rPr>
                <w:rFonts w:ascii="Times New Roman" w:hAnsi="Times New Roman" w:cs="Times New Roman"/>
                <w:sz w:val="24"/>
                <w:szCs w:val="24"/>
                <w:lang w:val="sv-SE"/>
              </w:rPr>
              <w:t>Creative Digital Skills</w:t>
            </w:r>
          </w:p>
        </w:tc>
        <w:tc>
          <w:tcPr>
            <w:tcW w:w="1946" w:type="pct"/>
          </w:tcPr>
          <w:p w14:paraId="62066153" w14:textId="16585696" w:rsidR="00C45233" w:rsidRPr="00806131" w:rsidRDefault="00806131" w:rsidP="005F545A">
            <w:pPr>
              <w:autoSpaceDE w:val="0"/>
              <w:autoSpaceDN w:val="0"/>
              <w:adjustRightInd w:val="0"/>
              <w:spacing w:line="276" w:lineRule="auto"/>
              <w:rPr>
                <w:rFonts w:ascii="Times New Roman" w:hAnsi="Times New Roman" w:cs="Times New Roman"/>
                <w:iCs/>
                <w:sz w:val="24"/>
                <w:szCs w:val="24"/>
                <w:lang w:val="en-US"/>
              </w:rPr>
            </w:pPr>
            <w:r w:rsidRPr="00806131">
              <w:rPr>
                <w:rFonts w:ascii="Times New Roman" w:hAnsi="Times New Roman" w:cs="Times New Roman"/>
                <w:iCs/>
                <w:sz w:val="24"/>
                <w:szCs w:val="24"/>
                <w:lang w:val="en-US"/>
              </w:rPr>
              <w:t>fluency</w:t>
            </w:r>
          </w:p>
        </w:tc>
        <w:tc>
          <w:tcPr>
            <w:tcW w:w="986" w:type="pct"/>
          </w:tcPr>
          <w:p w14:paraId="6C2A502C" w14:textId="445F21F2" w:rsidR="00C45233" w:rsidRPr="00193218" w:rsidRDefault="00193218" w:rsidP="005F545A">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68,2</w:t>
            </w:r>
            <w:r>
              <w:rPr>
                <w:rFonts w:ascii="Times New Roman" w:hAnsi="Times New Roman" w:cs="Times New Roman"/>
                <w:sz w:val="24"/>
                <w:szCs w:val="24"/>
                <w:lang w:val="sv-SE"/>
              </w:rPr>
              <w:t>%</w:t>
            </w:r>
          </w:p>
        </w:tc>
      </w:tr>
      <w:tr w:rsidR="00C45233" w:rsidRPr="00A73556" w14:paraId="60EF4141" w14:textId="2E528AAB" w:rsidTr="00C45233">
        <w:tc>
          <w:tcPr>
            <w:tcW w:w="334" w:type="pct"/>
            <w:vMerge/>
          </w:tcPr>
          <w:p w14:paraId="17AB195D" w14:textId="77777777" w:rsidR="00C45233" w:rsidRPr="00A73556" w:rsidRDefault="00C45233" w:rsidP="005F545A">
            <w:pPr>
              <w:autoSpaceDE w:val="0"/>
              <w:autoSpaceDN w:val="0"/>
              <w:adjustRightInd w:val="0"/>
              <w:spacing w:line="276" w:lineRule="auto"/>
              <w:jc w:val="center"/>
              <w:rPr>
                <w:rFonts w:ascii="Times New Roman" w:hAnsi="Times New Roman" w:cs="Times New Roman"/>
                <w:sz w:val="24"/>
                <w:szCs w:val="24"/>
                <w:lang w:val="en-US"/>
              </w:rPr>
            </w:pPr>
          </w:p>
        </w:tc>
        <w:tc>
          <w:tcPr>
            <w:tcW w:w="1733" w:type="pct"/>
            <w:vMerge/>
          </w:tcPr>
          <w:p w14:paraId="7C2B432D" w14:textId="77777777" w:rsidR="00C45233" w:rsidRPr="00A73556" w:rsidRDefault="00C45233" w:rsidP="005F545A">
            <w:pPr>
              <w:autoSpaceDE w:val="0"/>
              <w:autoSpaceDN w:val="0"/>
              <w:adjustRightInd w:val="0"/>
              <w:spacing w:line="276" w:lineRule="auto"/>
              <w:rPr>
                <w:rFonts w:ascii="Times New Roman" w:hAnsi="Times New Roman" w:cs="Times New Roman"/>
                <w:sz w:val="24"/>
                <w:szCs w:val="24"/>
                <w:lang w:val="en-US"/>
              </w:rPr>
            </w:pPr>
          </w:p>
        </w:tc>
        <w:tc>
          <w:tcPr>
            <w:tcW w:w="1946" w:type="pct"/>
          </w:tcPr>
          <w:p w14:paraId="42D42D8B" w14:textId="49EDB4AE" w:rsidR="00C45233" w:rsidRPr="00806131" w:rsidRDefault="00806131" w:rsidP="005F545A">
            <w:pPr>
              <w:autoSpaceDE w:val="0"/>
              <w:autoSpaceDN w:val="0"/>
              <w:adjustRightInd w:val="0"/>
              <w:spacing w:line="276" w:lineRule="auto"/>
              <w:rPr>
                <w:rFonts w:ascii="Times New Roman" w:hAnsi="Times New Roman" w:cs="Times New Roman"/>
                <w:iCs/>
                <w:sz w:val="24"/>
                <w:szCs w:val="24"/>
                <w:lang w:val="en-US"/>
              </w:rPr>
            </w:pPr>
            <w:r w:rsidRPr="00806131">
              <w:rPr>
                <w:rFonts w:ascii="Times New Roman" w:hAnsi="Times New Roman" w:cs="Times New Roman"/>
                <w:iCs/>
                <w:sz w:val="24"/>
                <w:szCs w:val="24"/>
                <w:lang w:val="en-US"/>
              </w:rPr>
              <w:t>flexibility</w:t>
            </w:r>
          </w:p>
        </w:tc>
        <w:tc>
          <w:tcPr>
            <w:tcW w:w="986" w:type="pct"/>
          </w:tcPr>
          <w:p w14:paraId="2F9E7E24" w14:textId="1C40DA42" w:rsidR="00C45233" w:rsidRPr="00193218" w:rsidRDefault="00193218" w:rsidP="005F545A">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62,9%</w:t>
            </w:r>
          </w:p>
        </w:tc>
      </w:tr>
      <w:tr w:rsidR="00C45233" w:rsidRPr="00A73556" w14:paraId="71AFEE0D" w14:textId="6E59F182" w:rsidTr="00C45233">
        <w:tc>
          <w:tcPr>
            <w:tcW w:w="334" w:type="pct"/>
            <w:vMerge/>
          </w:tcPr>
          <w:p w14:paraId="79176D99" w14:textId="77777777" w:rsidR="00C45233" w:rsidRPr="00A73556" w:rsidRDefault="00C45233" w:rsidP="005F545A">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485E6896" w14:textId="77777777" w:rsidR="00C45233" w:rsidRPr="00A73556" w:rsidRDefault="00C45233" w:rsidP="005F545A">
            <w:pPr>
              <w:autoSpaceDE w:val="0"/>
              <w:autoSpaceDN w:val="0"/>
              <w:adjustRightInd w:val="0"/>
              <w:spacing w:line="276" w:lineRule="auto"/>
              <w:rPr>
                <w:rFonts w:ascii="Times New Roman" w:hAnsi="Times New Roman" w:cs="Times New Roman"/>
                <w:sz w:val="24"/>
                <w:szCs w:val="24"/>
                <w:lang w:val="sv-SE"/>
              </w:rPr>
            </w:pPr>
          </w:p>
        </w:tc>
        <w:tc>
          <w:tcPr>
            <w:tcW w:w="1946" w:type="pct"/>
          </w:tcPr>
          <w:p w14:paraId="295BA480" w14:textId="4E0AE227" w:rsidR="00C45233" w:rsidRPr="00A73556" w:rsidRDefault="00806131" w:rsidP="005F545A">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lang w:val="en-US"/>
              </w:rPr>
              <w:t>Originality</w:t>
            </w:r>
          </w:p>
        </w:tc>
        <w:tc>
          <w:tcPr>
            <w:tcW w:w="986" w:type="pct"/>
          </w:tcPr>
          <w:p w14:paraId="0B92FE8B" w14:textId="6E0A0C6C" w:rsidR="00C45233" w:rsidRPr="00193218" w:rsidRDefault="00193218" w:rsidP="005F545A">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45,7%</w:t>
            </w:r>
          </w:p>
        </w:tc>
      </w:tr>
      <w:tr w:rsidR="00C45233" w:rsidRPr="00A73556" w14:paraId="65F4AF1B" w14:textId="213BC6C8" w:rsidTr="00C45233">
        <w:tc>
          <w:tcPr>
            <w:tcW w:w="334" w:type="pct"/>
            <w:vMerge/>
          </w:tcPr>
          <w:p w14:paraId="7EBF3947" w14:textId="77777777" w:rsidR="00C45233" w:rsidRPr="00A73556" w:rsidRDefault="00C45233" w:rsidP="005F545A">
            <w:pPr>
              <w:autoSpaceDE w:val="0"/>
              <w:autoSpaceDN w:val="0"/>
              <w:adjustRightInd w:val="0"/>
              <w:spacing w:line="276" w:lineRule="auto"/>
              <w:jc w:val="center"/>
              <w:rPr>
                <w:rFonts w:ascii="Times New Roman" w:hAnsi="Times New Roman" w:cs="Times New Roman"/>
                <w:sz w:val="24"/>
                <w:szCs w:val="24"/>
                <w:lang w:val="en-US"/>
              </w:rPr>
            </w:pPr>
          </w:p>
        </w:tc>
        <w:tc>
          <w:tcPr>
            <w:tcW w:w="1733" w:type="pct"/>
            <w:vMerge/>
          </w:tcPr>
          <w:p w14:paraId="555F773E" w14:textId="77777777" w:rsidR="00C45233" w:rsidRPr="00A73556" w:rsidRDefault="00C45233" w:rsidP="005F545A">
            <w:pPr>
              <w:autoSpaceDE w:val="0"/>
              <w:autoSpaceDN w:val="0"/>
              <w:adjustRightInd w:val="0"/>
              <w:spacing w:line="276" w:lineRule="auto"/>
              <w:rPr>
                <w:rFonts w:ascii="Times New Roman" w:hAnsi="Times New Roman" w:cs="Times New Roman"/>
                <w:sz w:val="24"/>
                <w:szCs w:val="24"/>
                <w:lang w:val="en-US"/>
              </w:rPr>
            </w:pPr>
          </w:p>
        </w:tc>
        <w:tc>
          <w:tcPr>
            <w:tcW w:w="1946" w:type="pct"/>
          </w:tcPr>
          <w:p w14:paraId="2F70FB45" w14:textId="631E42D8" w:rsidR="00C45233" w:rsidRPr="00A73556" w:rsidRDefault="00806131" w:rsidP="005F545A">
            <w:pPr>
              <w:autoSpaceDE w:val="0"/>
              <w:autoSpaceDN w:val="0"/>
              <w:adjustRightInd w:val="0"/>
              <w:spacing w:line="276" w:lineRule="auto"/>
              <w:rPr>
                <w:rFonts w:ascii="Times New Roman" w:hAnsi="Times New Roman" w:cs="Times New Roman"/>
                <w:sz w:val="24"/>
                <w:szCs w:val="24"/>
                <w:lang w:val="en-US"/>
              </w:rPr>
            </w:pPr>
            <w:r w:rsidRPr="00806131">
              <w:rPr>
                <w:rFonts w:ascii="Times New Roman" w:hAnsi="Times New Roman" w:cs="Times New Roman"/>
                <w:sz w:val="24"/>
                <w:szCs w:val="24"/>
                <w:lang w:val="en-US"/>
              </w:rPr>
              <w:t>Elaboration</w:t>
            </w:r>
          </w:p>
        </w:tc>
        <w:tc>
          <w:tcPr>
            <w:tcW w:w="986" w:type="pct"/>
          </w:tcPr>
          <w:p w14:paraId="0D45A78C" w14:textId="6E7B9FC8" w:rsidR="00C45233" w:rsidRPr="00193218" w:rsidRDefault="00193218" w:rsidP="005F545A">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52,6%</w:t>
            </w:r>
          </w:p>
        </w:tc>
      </w:tr>
      <w:tr w:rsidR="00806131" w:rsidRPr="00A73556" w14:paraId="418B28EE" w14:textId="443964E0" w:rsidTr="00C45233">
        <w:tc>
          <w:tcPr>
            <w:tcW w:w="334" w:type="pct"/>
            <w:vMerge w:val="restart"/>
          </w:tcPr>
          <w:p w14:paraId="2BAA322D" w14:textId="1211C830"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1733" w:type="pct"/>
            <w:vMerge w:val="restart"/>
          </w:tcPr>
          <w:p w14:paraId="0B1BB89E" w14:textId="413AD03E"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r w:rsidRPr="005263BD">
              <w:rPr>
                <w:rFonts w:ascii="Times New Roman" w:hAnsi="Times New Roman" w:cs="Times New Roman"/>
                <w:sz w:val="24"/>
                <w:szCs w:val="24"/>
                <w:lang w:val="sv-SE"/>
              </w:rPr>
              <w:t>Collaboration Digital Skills</w:t>
            </w:r>
          </w:p>
        </w:tc>
        <w:tc>
          <w:tcPr>
            <w:tcW w:w="1946" w:type="pct"/>
          </w:tcPr>
          <w:p w14:paraId="4CFD4FC9" w14:textId="6BE7460B"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Group Interaction</w:t>
            </w:r>
          </w:p>
        </w:tc>
        <w:tc>
          <w:tcPr>
            <w:tcW w:w="986" w:type="pct"/>
          </w:tcPr>
          <w:p w14:paraId="68DFB5FF" w14:textId="6C94491E"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75,4</w:t>
            </w:r>
            <w:r>
              <w:rPr>
                <w:rFonts w:ascii="Times New Roman" w:hAnsi="Times New Roman" w:cs="Times New Roman"/>
                <w:color w:val="000000" w:themeColor="text1"/>
                <w:sz w:val="24"/>
                <w:szCs w:val="24"/>
                <w:lang w:val="en-US"/>
              </w:rPr>
              <w:t>%</w:t>
            </w:r>
          </w:p>
        </w:tc>
      </w:tr>
      <w:tr w:rsidR="00806131" w:rsidRPr="00A73556" w14:paraId="546F2D60" w14:textId="77777777" w:rsidTr="00C45233">
        <w:tc>
          <w:tcPr>
            <w:tcW w:w="334" w:type="pct"/>
            <w:vMerge/>
          </w:tcPr>
          <w:p w14:paraId="4BFB1AA8"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7B3A720C" w14:textId="39E27F4F"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0C364075" w14:textId="4CADD872"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Positive Communication</w:t>
            </w:r>
          </w:p>
        </w:tc>
        <w:tc>
          <w:tcPr>
            <w:tcW w:w="986" w:type="pct"/>
          </w:tcPr>
          <w:p w14:paraId="185372FE" w14:textId="0FC60813"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72,7</w:t>
            </w:r>
            <w:r>
              <w:rPr>
                <w:rFonts w:ascii="Times New Roman" w:hAnsi="Times New Roman" w:cs="Times New Roman"/>
                <w:color w:val="000000" w:themeColor="text1"/>
                <w:sz w:val="24"/>
                <w:szCs w:val="24"/>
                <w:lang w:val="en-US"/>
              </w:rPr>
              <w:t>%</w:t>
            </w:r>
          </w:p>
        </w:tc>
      </w:tr>
      <w:tr w:rsidR="00806131" w:rsidRPr="00A73556" w14:paraId="3DB48C1E" w14:textId="77777777" w:rsidTr="00C45233">
        <w:tc>
          <w:tcPr>
            <w:tcW w:w="334" w:type="pct"/>
            <w:vMerge/>
          </w:tcPr>
          <w:p w14:paraId="4A1CC36B"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4C81ADDF"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25F82139" w14:textId="1A10E9AD"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Many Questions/ Solutions</w:t>
            </w:r>
          </w:p>
        </w:tc>
        <w:tc>
          <w:tcPr>
            <w:tcW w:w="986" w:type="pct"/>
          </w:tcPr>
          <w:p w14:paraId="3B1F600C" w14:textId="3B308443"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72,5</w:t>
            </w:r>
            <w:r>
              <w:rPr>
                <w:rFonts w:ascii="Times New Roman" w:hAnsi="Times New Roman" w:cs="Times New Roman"/>
                <w:color w:val="000000" w:themeColor="text1"/>
                <w:sz w:val="24"/>
                <w:szCs w:val="24"/>
                <w:lang w:val="en-US"/>
              </w:rPr>
              <w:t>%</w:t>
            </w:r>
          </w:p>
        </w:tc>
      </w:tr>
      <w:tr w:rsidR="00806131" w:rsidRPr="00A73556" w14:paraId="18DB509F" w14:textId="77777777" w:rsidTr="00C45233">
        <w:tc>
          <w:tcPr>
            <w:tcW w:w="334" w:type="pct"/>
            <w:vMerge/>
          </w:tcPr>
          <w:p w14:paraId="09391881"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6E6DCA87"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04FF89B1" w14:textId="029CBFBF"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Authentic Approaches and Tasks</w:t>
            </w:r>
          </w:p>
        </w:tc>
        <w:tc>
          <w:tcPr>
            <w:tcW w:w="986" w:type="pct"/>
          </w:tcPr>
          <w:p w14:paraId="5A520D76" w14:textId="4F4EE37E"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74,8</w:t>
            </w:r>
            <w:r>
              <w:rPr>
                <w:rFonts w:ascii="Times New Roman" w:hAnsi="Times New Roman" w:cs="Times New Roman"/>
                <w:color w:val="000000" w:themeColor="text1"/>
                <w:sz w:val="24"/>
                <w:szCs w:val="24"/>
                <w:lang w:val="en-US"/>
              </w:rPr>
              <w:t>%</w:t>
            </w:r>
          </w:p>
        </w:tc>
      </w:tr>
      <w:tr w:rsidR="00806131" w:rsidRPr="00A73556" w14:paraId="62550B54" w14:textId="77777777" w:rsidTr="00C45233">
        <w:tc>
          <w:tcPr>
            <w:tcW w:w="334" w:type="pct"/>
            <w:vMerge/>
          </w:tcPr>
          <w:p w14:paraId="2206591D" w14:textId="77777777"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p>
        </w:tc>
        <w:tc>
          <w:tcPr>
            <w:tcW w:w="1733" w:type="pct"/>
            <w:vMerge/>
          </w:tcPr>
          <w:p w14:paraId="68956DD2"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47A30BA6" w14:textId="5FE52E51"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Transdisciplinary Thinking</w:t>
            </w:r>
          </w:p>
        </w:tc>
        <w:tc>
          <w:tcPr>
            <w:tcW w:w="986" w:type="pct"/>
          </w:tcPr>
          <w:p w14:paraId="5502AA88" w14:textId="207A3ADB"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65,6</w:t>
            </w:r>
            <w:r>
              <w:rPr>
                <w:rFonts w:ascii="Times New Roman" w:hAnsi="Times New Roman" w:cs="Times New Roman"/>
                <w:color w:val="000000" w:themeColor="text1"/>
                <w:sz w:val="24"/>
                <w:szCs w:val="24"/>
                <w:lang w:val="en-US"/>
              </w:rPr>
              <w:t>%</w:t>
            </w:r>
          </w:p>
        </w:tc>
      </w:tr>
      <w:tr w:rsidR="00806131" w:rsidRPr="00A73556" w14:paraId="0E8DC754" w14:textId="77777777" w:rsidTr="00C45233">
        <w:tc>
          <w:tcPr>
            <w:tcW w:w="334" w:type="pct"/>
            <w:vMerge w:val="restart"/>
          </w:tcPr>
          <w:p w14:paraId="1C65E12C" w14:textId="4F3986FE" w:rsidR="00806131" w:rsidRPr="00A73556" w:rsidRDefault="00806131" w:rsidP="00806131">
            <w:pPr>
              <w:autoSpaceDE w:val="0"/>
              <w:autoSpaceDN w:val="0"/>
              <w:adjustRightInd w:val="0"/>
              <w:spacing w:line="276"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1733" w:type="pct"/>
            <w:vMerge w:val="restart"/>
          </w:tcPr>
          <w:p w14:paraId="0B7C08FD" w14:textId="32E54B4B"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r w:rsidRPr="005263BD">
              <w:rPr>
                <w:rFonts w:ascii="Times New Roman" w:hAnsi="Times New Roman" w:cs="Times New Roman"/>
                <w:sz w:val="24"/>
                <w:szCs w:val="24"/>
                <w:lang w:val="sv-SE"/>
              </w:rPr>
              <w:t>Communication Digital Skills</w:t>
            </w:r>
          </w:p>
        </w:tc>
        <w:tc>
          <w:tcPr>
            <w:tcW w:w="1946" w:type="pct"/>
          </w:tcPr>
          <w:p w14:paraId="307187A3" w14:textId="65EBB982"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Information search</w:t>
            </w:r>
          </w:p>
        </w:tc>
        <w:tc>
          <w:tcPr>
            <w:tcW w:w="986" w:type="pct"/>
          </w:tcPr>
          <w:p w14:paraId="0E6D34C3" w14:textId="5504970F"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72,4%</w:t>
            </w:r>
          </w:p>
        </w:tc>
      </w:tr>
      <w:tr w:rsidR="00806131" w:rsidRPr="00A73556" w14:paraId="44F6F790" w14:textId="77777777" w:rsidTr="00C45233">
        <w:tc>
          <w:tcPr>
            <w:tcW w:w="334" w:type="pct"/>
            <w:vMerge/>
          </w:tcPr>
          <w:p w14:paraId="75AC8929"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733" w:type="pct"/>
            <w:vMerge/>
          </w:tcPr>
          <w:p w14:paraId="7716E4C6"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44537BF0" w14:textId="57AAF91F"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Listen and observe</w:t>
            </w:r>
          </w:p>
        </w:tc>
        <w:tc>
          <w:tcPr>
            <w:tcW w:w="986" w:type="pct"/>
          </w:tcPr>
          <w:p w14:paraId="51C67157" w14:textId="7E0B8243" w:rsidR="00806131" w:rsidRPr="00144504"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71,5%</w:t>
            </w:r>
          </w:p>
        </w:tc>
      </w:tr>
      <w:tr w:rsidR="00806131" w:rsidRPr="00A73556" w14:paraId="478C1AFD" w14:textId="6955E28F" w:rsidTr="00C45233">
        <w:tc>
          <w:tcPr>
            <w:tcW w:w="334" w:type="pct"/>
            <w:vMerge/>
          </w:tcPr>
          <w:p w14:paraId="17B21896"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733" w:type="pct"/>
            <w:vMerge/>
          </w:tcPr>
          <w:p w14:paraId="588AF527"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44E38529" w14:textId="61A88079"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Scientific writing</w:t>
            </w:r>
          </w:p>
        </w:tc>
        <w:tc>
          <w:tcPr>
            <w:tcW w:w="986" w:type="pct"/>
          </w:tcPr>
          <w:p w14:paraId="1EE16982" w14:textId="32400214" w:rsidR="00806131" w:rsidRPr="00193218"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60,2%</w:t>
            </w:r>
          </w:p>
        </w:tc>
      </w:tr>
      <w:tr w:rsidR="00806131" w:rsidRPr="00A73556" w14:paraId="24CCFDDB" w14:textId="77777777" w:rsidTr="00C45233">
        <w:tc>
          <w:tcPr>
            <w:tcW w:w="334" w:type="pct"/>
            <w:vMerge/>
          </w:tcPr>
          <w:p w14:paraId="2441B3A1"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733" w:type="pct"/>
            <w:vMerge/>
          </w:tcPr>
          <w:p w14:paraId="0794FFAF"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7A218808" w14:textId="276BD9E1"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Information representation</w:t>
            </w:r>
          </w:p>
        </w:tc>
        <w:tc>
          <w:tcPr>
            <w:tcW w:w="986" w:type="pct"/>
          </w:tcPr>
          <w:p w14:paraId="736C823B" w14:textId="51334359" w:rsidR="00806131" w:rsidRPr="00193218"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71,6%</w:t>
            </w:r>
          </w:p>
        </w:tc>
      </w:tr>
      <w:tr w:rsidR="00806131" w:rsidRPr="00A73556" w14:paraId="180842ED" w14:textId="77777777" w:rsidTr="00C45233">
        <w:tc>
          <w:tcPr>
            <w:tcW w:w="334" w:type="pct"/>
            <w:vMerge/>
          </w:tcPr>
          <w:p w14:paraId="707DB88A"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733" w:type="pct"/>
            <w:vMerge/>
          </w:tcPr>
          <w:p w14:paraId="221D7F98" w14:textId="77777777" w:rsidR="00806131" w:rsidRPr="00A73556" w:rsidRDefault="00806131" w:rsidP="00806131">
            <w:pPr>
              <w:autoSpaceDE w:val="0"/>
              <w:autoSpaceDN w:val="0"/>
              <w:adjustRightInd w:val="0"/>
              <w:spacing w:line="276" w:lineRule="auto"/>
              <w:rPr>
                <w:rFonts w:ascii="Times New Roman" w:hAnsi="Times New Roman" w:cs="Times New Roman"/>
                <w:sz w:val="24"/>
                <w:szCs w:val="24"/>
                <w:lang w:val="sv-SE"/>
              </w:rPr>
            </w:pPr>
          </w:p>
        </w:tc>
        <w:tc>
          <w:tcPr>
            <w:tcW w:w="1946" w:type="pct"/>
          </w:tcPr>
          <w:p w14:paraId="60B4AEA0" w14:textId="5CDDDFCD" w:rsidR="00806131" w:rsidRPr="00806131" w:rsidRDefault="00806131" w:rsidP="00806131">
            <w:pPr>
              <w:autoSpaceDE w:val="0"/>
              <w:autoSpaceDN w:val="0"/>
              <w:adjustRightInd w:val="0"/>
              <w:spacing w:line="276" w:lineRule="auto"/>
              <w:rPr>
                <w:rFonts w:ascii="Times New Roman" w:hAnsi="Times New Roman" w:cs="Times New Roman"/>
                <w:sz w:val="24"/>
                <w:szCs w:val="24"/>
                <w:lang w:val="sv-SE"/>
              </w:rPr>
            </w:pPr>
            <w:r w:rsidRPr="00806131">
              <w:rPr>
                <w:rFonts w:ascii="Times New Roman" w:hAnsi="Times New Roman" w:cs="Times New Roman"/>
                <w:sz w:val="24"/>
                <w:szCs w:val="24"/>
              </w:rPr>
              <w:t>Knowledge presentation</w:t>
            </w:r>
          </w:p>
        </w:tc>
        <w:tc>
          <w:tcPr>
            <w:tcW w:w="986" w:type="pct"/>
          </w:tcPr>
          <w:p w14:paraId="0E9C2A1D" w14:textId="309589E1" w:rsidR="00806131" w:rsidRPr="00193218" w:rsidRDefault="00806131" w:rsidP="00806131">
            <w:pPr>
              <w:autoSpaceDE w:val="0"/>
              <w:autoSpaceDN w:val="0"/>
              <w:adjustRightInd w:val="0"/>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70,5%</w:t>
            </w:r>
          </w:p>
        </w:tc>
      </w:tr>
    </w:tbl>
    <w:p w14:paraId="58785685" w14:textId="57DE0907" w:rsidR="00EE536C" w:rsidRDefault="00EE536C" w:rsidP="007762FE">
      <w:pPr>
        <w:spacing w:after="0" w:line="276" w:lineRule="auto"/>
        <w:ind w:firstLine="720"/>
        <w:jc w:val="both"/>
        <w:rPr>
          <w:rFonts w:ascii="Times New Roman" w:hAnsi="Times New Roman" w:cs="Times New Roman"/>
          <w:sz w:val="24"/>
          <w:szCs w:val="24"/>
          <w:lang w:val="sv-SE"/>
        </w:rPr>
      </w:pPr>
    </w:p>
    <w:p w14:paraId="7C0D37E4" w14:textId="40327047" w:rsidR="008326FA" w:rsidRPr="00025239" w:rsidRDefault="00025239" w:rsidP="007762FE">
      <w:pPr>
        <w:spacing w:after="0" w:line="276" w:lineRule="auto"/>
        <w:ind w:firstLine="720"/>
        <w:jc w:val="both"/>
        <w:rPr>
          <w:rFonts w:ascii="Times New Roman" w:hAnsi="Times New Roman" w:cs="Times New Roman"/>
          <w:sz w:val="24"/>
          <w:szCs w:val="24"/>
          <w:lang w:val="en-US"/>
        </w:rPr>
      </w:pPr>
      <w:r w:rsidRPr="00025239">
        <w:rPr>
          <w:rFonts w:ascii="Times New Roman" w:hAnsi="Times New Roman" w:cs="Times New Roman"/>
          <w:sz w:val="24"/>
          <w:szCs w:val="24"/>
          <w:lang w:val="en-US"/>
        </w:rPr>
        <w:t>A recap of each of the 4C digital skills, namely critical thinking digital skills, creative digital skills, collaboration digital skills, communication digital skills, is presented in diagrammatic form in Figure 1 below.</w:t>
      </w:r>
    </w:p>
    <w:p w14:paraId="1A4A8F6F" w14:textId="77777777" w:rsidR="008326FA" w:rsidRPr="00025239" w:rsidRDefault="008326FA" w:rsidP="007762FE">
      <w:pPr>
        <w:spacing w:after="0" w:line="276" w:lineRule="auto"/>
        <w:ind w:firstLine="720"/>
        <w:jc w:val="both"/>
        <w:rPr>
          <w:rFonts w:ascii="Times New Roman" w:hAnsi="Times New Roman" w:cs="Times New Roman"/>
          <w:sz w:val="24"/>
          <w:szCs w:val="24"/>
          <w:lang w:val="en-US"/>
        </w:rPr>
      </w:pPr>
    </w:p>
    <w:p w14:paraId="5A091C6D" w14:textId="62FB4A13" w:rsidR="00451C94" w:rsidRDefault="003A644D" w:rsidP="001D5AAB">
      <w:pPr>
        <w:spacing w:after="0" w:line="276" w:lineRule="auto"/>
        <w:jc w:val="center"/>
        <w:rPr>
          <w:rFonts w:ascii="Times New Roman" w:hAnsi="Times New Roman" w:cs="Times New Roman"/>
          <w:sz w:val="24"/>
          <w:szCs w:val="24"/>
        </w:rPr>
      </w:pPr>
      <w:r>
        <w:rPr>
          <w:noProof/>
        </w:rPr>
        <w:lastRenderedPageBreak/>
        <w:drawing>
          <wp:inline distT="0" distB="0" distL="0" distR="0" wp14:anchorId="5D55A0F4" wp14:editId="3845EEE0">
            <wp:extent cx="5938838" cy="3105150"/>
            <wp:effectExtent l="0" t="0" r="5080" b="0"/>
            <wp:docPr id="1414851155" name="Chart 1">
              <a:extLst xmlns:a="http://schemas.openxmlformats.org/drawingml/2006/main">
                <a:ext uri="{FF2B5EF4-FFF2-40B4-BE49-F238E27FC236}">
                  <a16:creationId xmlns:a16="http://schemas.microsoft.com/office/drawing/2014/main" id="{125FE871-44DE-C348-F566-1A4ADA776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296B36" w14:textId="6F61D355" w:rsidR="001D5AAB" w:rsidRDefault="001D5AAB" w:rsidP="001D5AAB">
      <w:pPr>
        <w:spacing w:after="0" w:line="276" w:lineRule="auto"/>
        <w:jc w:val="center"/>
        <w:rPr>
          <w:rFonts w:ascii="Times New Roman" w:hAnsi="Times New Roman" w:cs="Times New Roman"/>
          <w:sz w:val="24"/>
          <w:szCs w:val="24"/>
        </w:rPr>
      </w:pPr>
    </w:p>
    <w:p w14:paraId="16F55AB8" w14:textId="22CD7FA9" w:rsidR="008326FA" w:rsidRPr="00393CD3" w:rsidRDefault="00025239" w:rsidP="001D5AAB">
      <w:pPr>
        <w:spacing w:after="0" w:line="276" w:lineRule="auto"/>
        <w:jc w:val="center"/>
        <w:rPr>
          <w:rFonts w:ascii="Times New Roman" w:hAnsi="Times New Roman" w:cs="Times New Roman"/>
          <w:sz w:val="24"/>
          <w:szCs w:val="24"/>
          <w:lang w:val="en-US"/>
        </w:rPr>
      </w:pPr>
      <w:r w:rsidRPr="00393CD3">
        <w:rPr>
          <w:rFonts w:ascii="Times New Roman" w:hAnsi="Times New Roman" w:cs="Times New Roman"/>
          <w:sz w:val="24"/>
          <w:szCs w:val="24"/>
          <w:lang w:val="en-US"/>
        </w:rPr>
        <w:t>Figure</w:t>
      </w:r>
      <w:r w:rsidR="008326FA" w:rsidRPr="00393CD3">
        <w:rPr>
          <w:rFonts w:ascii="Times New Roman" w:hAnsi="Times New Roman" w:cs="Times New Roman"/>
          <w:sz w:val="24"/>
          <w:szCs w:val="24"/>
          <w:lang w:val="en-US"/>
        </w:rPr>
        <w:t xml:space="preserve"> 1. </w:t>
      </w:r>
      <w:r w:rsidRPr="00806131">
        <w:rPr>
          <w:rFonts w:ascii="Times New Roman" w:hAnsi="Times New Roman" w:cs="Times New Roman"/>
          <w:sz w:val="24"/>
          <w:szCs w:val="24"/>
          <w:lang w:val="en-US"/>
        </w:rPr>
        <w:t>Result of 4C digital skill</w:t>
      </w:r>
      <w:r>
        <w:rPr>
          <w:rFonts w:ascii="Times New Roman" w:hAnsi="Times New Roman" w:cs="Times New Roman"/>
          <w:sz w:val="24"/>
          <w:szCs w:val="24"/>
          <w:lang w:val="en-US"/>
        </w:rPr>
        <w:t>s</w:t>
      </w:r>
    </w:p>
    <w:p w14:paraId="590FC0AD" w14:textId="7DB4DC59" w:rsidR="001D5AAB" w:rsidRDefault="001D5AAB" w:rsidP="001D5AAB">
      <w:pPr>
        <w:spacing w:after="0" w:line="276" w:lineRule="auto"/>
        <w:jc w:val="center"/>
        <w:rPr>
          <w:rFonts w:ascii="Times New Roman" w:hAnsi="Times New Roman" w:cs="Times New Roman"/>
          <w:sz w:val="24"/>
          <w:szCs w:val="24"/>
        </w:rPr>
      </w:pPr>
    </w:p>
    <w:p w14:paraId="1E764D67" w14:textId="1BBB9FBF" w:rsidR="008326FA" w:rsidRPr="00983C8E" w:rsidRDefault="00983C8E" w:rsidP="008326FA">
      <w:pPr>
        <w:spacing w:after="0" w:line="276" w:lineRule="auto"/>
        <w:ind w:firstLine="720"/>
        <w:jc w:val="both"/>
        <w:rPr>
          <w:rFonts w:ascii="Times New Roman" w:hAnsi="Times New Roman" w:cs="Times New Roman"/>
          <w:sz w:val="24"/>
          <w:szCs w:val="24"/>
          <w:lang w:val="en-US"/>
        </w:rPr>
      </w:pPr>
      <w:r w:rsidRPr="00983C8E">
        <w:rPr>
          <w:rFonts w:ascii="Times New Roman" w:hAnsi="Times New Roman" w:cs="Times New Roman"/>
          <w:sz w:val="24"/>
          <w:szCs w:val="24"/>
        </w:rPr>
        <w:t>Based on Figure 1, it can be seen that of the four skills, the aspects of critical thinking digital skills, creative digital skills, and communication digital skills are lower than the aspects of collaboration digital skills. Creative digital skills get a percentage of 57.35% in the low category. Likewise, the aspect of communication digital skills gets a percentage of 69.24%, and critical thinking digital skills get a percentage of 61.66% which is also in the medium category. Meanwhile, the collaboration digital skills aspect is the aspect with the highest percentage, namely 72.20% in the high category.</w:t>
      </w:r>
    </w:p>
    <w:p w14:paraId="3DFB4537" w14:textId="50D31EA0" w:rsidR="00983C8E" w:rsidRDefault="00983C8E" w:rsidP="008326FA">
      <w:pPr>
        <w:spacing w:after="0" w:line="276" w:lineRule="auto"/>
        <w:ind w:firstLine="720"/>
        <w:jc w:val="both"/>
        <w:rPr>
          <w:rFonts w:ascii="Times New Roman" w:hAnsi="Times New Roman" w:cs="Times New Roman"/>
          <w:sz w:val="24"/>
          <w:szCs w:val="24"/>
          <w:lang w:val="en-US"/>
        </w:rPr>
      </w:pPr>
      <w:r w:rsidRPr="00983C8E">
        <w:rPr>
          <w:rFonts w:ascii="Times New Roman" w:hAnsi="Times New Roman" w:cs="Times New Roman"/>
          <w:sz w:val="24"/>
          <w:szCs w:val="24"/>
          <w:lang w:val="en-US"/>
        </w:rPr>
        <w:t xml:space="preserve">Creative digital skills are the lowest aspect compared to other aspects. This can be seen from the indicators regarding the criteria for creative digital skills related to creating new original works, </w:t>
      </w:r>
      <w:r w:rsidR="00C40C7A" w:rsidRPr="00C40C7A">
        <w:rPr>
          <w:rFonts w:ascii="Times New Roman" w:hAnsi="Times New Roman" w:cs="Times New Roman"/>
          <w:sz w:val="24"/>
          <w:szCs w:val="24"/>
          <w:lang w:val="en-US"/>
        </w:rPr>
        <w:t xml:space="preserve">that </w:t>
      </w:r>
      <w:r w:rsidRPr="00983C8E">
        <w:rPr>
          <w:rFonts w:ascii="Times New Roman" w:hAnsi="Times New Roman" w:cs="Times New Roman"/>
          <w:sz w:val="24"/>
          <w:szCs w:val="24"/>
          <w:lang w:val="en-US"/>
        </w:rPr>
        <w:t xml:space="preserve">are very much different from previous works, the lowest criterion, with a score of 45.7%. Even though students with good creative digital skills will obtain one's success. Creative digital skills positively correlate with the quality of one's work </w:t>
      </w:r>
      <w:r>
        <w:rPr>
          <w:rFonts w:ascii="Times New Roman" w:hAnsi="Times New Roman" w:cs="Times New Roman"/>
          <w:sz w:val="24"/>
          <w:szCs w:val="24"/>
          <w:lang w:val="sv-SE"/>
        </w:rPr>
        <w:fldChar w:fldCharType="begin" w:fldLock="1"/>
      </w:r>
      <w:r w:rsidRPr="00983C8E">
        <w:rPr>
          <w:rFonts w:ascii="Times New Roman" w:hAnsi="Times New Roman" w:cs="Times New Roman"/>
          <w:sz w:val="24"/>
          <w:szCs w:val="24"/>
          <w:lang w:val="en-US"/>
        </w:rPr>
        <w:instrText>ADDIN CSL_CITATION {"citationItems":[{"id":"ITEM-1","itemData":{"ISSN":"2668-7798","author":[{"dropping-particle":"","family":"Dawood","given":"Ahmed Quinn","non-dropping-particle":"","parse-names":false,"suffix":""},{"dropping-particle":"","family":"Shaalan","given":"Uday Hussien","non-dropping-particle":"","parse-names":false,"suffix":""},{"dropping-particle":"","family":"Nsaif","given":"Ahmed Kamil","non-dropping-particle":"","parse-names":false,"suffix":""}],"container-title":"Technium Social Sciences Journal","id":"ITEM-1","issued":{"date-parts":[["2022"]]},"title":"The influence relationship of creative thinking on the quality of work life, an analytical study on people’s officials in the General Directorate of Education of Baghdad Governorate, Rusafa / second","type":"article-journal","volume":"31"},"uris":["http://www.mendeley.com/documents/?uuid=46f53f57-5c51-4d68-91b2-94ce10f128ad"]}],"mendeley":{"formattedCitation":"(Dawood et al., 2022)","plainTextFormattedCitation":"(Dawood et al., 2022)","previouslyFormattedCitation":"(Dawood et al., 2022)"},"properties":{"noteIndex":0},"schema":"https://github.com/citation-style-language/schema/raw/master/csl-citation.json"}</w:instrText>
      </w:r>
      <w:r>
        <w:rPr>
          <w:rFonts w:ascii="Times New Roman" w:hAnsi="Times New Roman" w:cs="Times New Roman"/>
          <w:sz w:val="24"/>
          <w:szCs w:val="24"/>
          <w:lang w:val="sv-SE"/>
        </w:rPr>
        <w:fldChar w:fldCharType="separate"/>
      </w:r>
      <w:r w:rsidRPr="00983C8E">
        <w:rPr>
          <w:rFonts w:ascii="Times New Roman" w:hAnsi="Times New Roman" w:cs="Times New Roman"/>
          <w:noProof/>
          <w:sz w:val="24"/>
          <w:szCs w:val="24"/>
          <w:lang w:val="en-US"/>
        </w:rPr>
        <w:t>(Dawood et al., 2022)</w:t>
      </w:r>
      <w:r>
        <w:rPr>
          <w:rFonts w:ascii="Times New Roman" w:hAnsi="Times New Roman" w:cs="Times New Roman"/>
          <w:sz w:val="24"/>
          <w:szCs w:val="24"/>
          <w:lang w:val="sv-SE"/>
        </w:rPr>
        <w:fldChar w:fldCharType="end"/>
      </w:r>
      <w:r w:rsidRPr="00983C8E">
        <w:rPr>
          <w:rFonts w:ascii="Times New Roman" w:hAnsi="Times New Roman" w:cs="Times New Roman"/>
          <w:sz w:val="24"/>
          <w:szCs w:val="24"/>
          <w:lang w:val="en-US"/>
        </w:rPr>
        <w:t>. In order to improve students' creative digital skills, learning needs to be directed so that they can develop their creativity, one of which is to be able to convey ideas or ideas that are new and different from previous works.</w:t>
      </w:r>
    </w:p>
    <w:p w14:paraId="3590118F" w14:textId="482EA174" w:rsidR="005D0BBC" w:rsidRPr="00983C8E" w:rsidRDefault="005D0BBC" w:rsidP="008326FA">
      <w:pPr>
        <w:spacing w:after="0" w:line="276" w:lineRule="auto"/>
        <w:ind w:firstLine="720"/>
        <w:jc w:val="both"/>
        <w:rPr>
          <w:rFonts w:ascii="Times New Roman" w:hAnsi="Times New Roman" w:cs="Times New Roman"/>
          <w:sz w:val="24"/>
          <w:szCs w:val="24"/>
          <w:lang w:val="en-US"/>
        </w:rPr>
      </w:pPr>
      <w:r w:rsidRPr="005D0BBC">
        <w:rPr>
          <w:rFonts w:ascii="Times New Roman" w:hAnsi="Times New Roman" w:cs="Times New Roman"/>
          <w:sz w:val="24"/>
          <w:szCs w:val="24"/>
          <w:lang w:val="en-US"/>
        </w:rPr>
        <w:t xml:space="preserve">In the aspect of digital communication skills, the lowest criterion is found in the scientific writing indicator. Communicating can be done verbally or in writing. </w:t>
      </w:r>
      <w:r w:rsidR="00C40C7A">
        <w:rPr>
          <w:rFonts w:ascii="Times New Roman" w:hAnsi="Times New Roman" w:cs="Times New Roman"/>
          <w:sz w:val="24"/>
          <w:szCs w:val="24"/>
          <w:lang w:val="en-US"/>
        </w:rPr>
        <w:t>T</w:t>
      </w:r>
      <w:r w:rsidR="00C40C7A" w:rsidRPr="00C40C7A">
        <w:rPr>
          <w:rFonts w:ascii="Times New Roman" w:hAnsi="Times New Roman" w:cs="Times New Roman"/>
          <w:sz w:val="24"/>
          <w:szCs w:val="24"/>
          <w:lang w:val="en-US"/>
        </w:rPr>
        <w:t xml:space="preserve">hese </w:t>
      </w:r>
      <w:r w:rsidRPr="005D0BBC">
        <w:rPr>
          <w:rFonts w:ascii="Times New Roman" w:hAnsi="Times New Roman" w:cs="Times New Roman"/>
          <w:sz w:val="24"/>
          <w:szCs w:val="24"/>
          <w:lang w:val="en-US"/>
        </w:rPr>
        <w:t xml:space="preserve">two aspects are important to be provided to students so that they have the ability to communicate both orally and in writing. Communication skills include </w:t>
      </w:r>
      <w:r w:rsidR="00C40C7A" w:rsidRPr="00C40C7A">
        <w:rPr>
          <w:rFonts w:ascii="Times New Roman" w:hAnsi="Times New Roman" w:cs="Times New Roman"/>
          <w:sz w:val="24"/>
          <w:szCs w:val="24"/>
          <w:lang w:val="en-US"/>
        </w:rPr>
        <w:t xml:space="preserve">the ability to convey </w:t>
      </w:r>
      <w:r w:rsidRPr="005D0BBC">
        <w:rPr>
          <w:rFonts w:ascii="Times New Roman" w:hAnsi="Times New Roman" w:cs="Times New Roman"/>
          <w:sz w:val="24"/>
          <w:szCs w:val="24"/>
          <w:lang w:val="en-US"/>
        </w:rPr>
        <w:t xml:space="preserve">thoughts clearly orally and in writing </w:t>
      </w:r>
      <w:r>
        <w:rPr>
          <w:rFonts w:ascii="Times New Roman" w:hAnsi="Times New Roman" w:cs="Times New Roman"/>
          <w:sz w:val="24"/>
          <w:szCs w:val="24"/>
          <w:lang w:val="sv-SE"/>
        </w:rPr>
        <w:fldChar w:fldCharType="begin" w:fldLock="1"/>
      </w:r>
      <w:r w:rsidRPr="005D0BBC">
        <w:rPr>
          <w:rFonts w:ascii="Times New Roman" w:hAnsi="Times New Roman" w:cs="Times New Roman"/>
          <w:sz w:val="24"/>
          <w:szCs w:val="24"/>
          <w:lang w:val="en-US"/>
        </w:rPr>
        <w:instrText>ADDIN CSL_CITATION {"citationItems":[{"id":"ITEM-1","itemData":{"DOI":"10.1080/09571736.2012.723729","ISSN":"17532167","abstract":"A decade ago, Klapper (2003: ‘Taking communication to task? A critical review of recent trends in language teaching’, The Language Learning Journal 27: 33–42) created the opportunity to reflect on the assets and limitations of task-based language teaching (TBLT) in comparison with more established communicative language teaching (CLT) models. He concluded that, comparatively speaking, TBLT was ‘found wanting’. This article considers whether, 10 years on from Klapper's thesis, we should come to the same conclusion about TBLT, or whether a decade has given us sufficient time to deal with the apparent limitations of TBLT in mainstream instructed foreign language (FL) contexts in ways that address Klapper's reservations. The article begins with an outline of TBLT, along with the essential strengths and weaknesses that Klapper identified. It goes on to describe several recent studies into the effectiveness of TBLT as seen from the perspective of teachers, which reveal teachers’ identification with the issues Klapper had raised and what this has meant for their classroom practices. The article concludes by proposing a model for TBLT in instructed FL contexts, commenting on this model in the light of Klapper's original concerns.","author":[{"dropping-particle":"","family":"East","given":"Martin","non-dropping-particle":"","parse-names":false,"suffix":""}],"container-title":"Language Learning Journal","id":"ITEM-1","issue":"1","issued":{"date-parts":[["2015"]]},"page":"6-19","title":"Taking communication to task – again: what difference does a decade make?","type":"article-journal","volume":"43"},"uris":["http://www.mendeley.com/documents/?uuid=b39c7702-cfb6-477e-8a88-b14d3fe959e3"]}],"mendeley":{"formattedCitation":"(East, 2015)","plainTextFormattedCitation":"(East, 2015)","previouslyFormattedCitation":"(East, 2015)"},"properties":{"noteIndex":0},"schema":"https://github.com/citation-style-language/schema/raw/master/csl-citation.json"}</w:instrText>
      </w:r>
      <w:r>
        <w:rPr>
          <w:rFonts w:ascii="Times New Roman" w:hAnsi="Times New Roman" w:cs="Times New Roman"/>
          <w:sz w:val="24"/>
          <w:szCs w:val="24"/>
          <w:lang w:val="sv-SE"/>
        </w:rPr>
        <w:fldChar w:fldCharType="separate"/>
      </w:r>
      <w:r w:rsidRPr="005D0BBC">
        <w:rPr>
          <w:rFonts w:ascii="Times New Roman" w:hAnsi="Times New Roman" w:cs="Times New Roman"/>
          <w:noProof/>
          <w:sz w:val="24"/>
          <w:szCs w:val="24"/>
          <w:lang w:val="en-US"/>
        </w:rPr>
        <w:t>(East, 2015)</w:t>
      </w:r>
      <w:r>
        <w:rPr>
          <w:rFonts w:ascii="Times New Roman" w:hAnsi="Times New Roman" w:cs="Times New Roman"/>
          <w:sz w:val="24"/>
          <w:szCs w:val="24"/>
          <w:lang w:val="sv-SE"/>
        </w:rPr>
        <w:fldChar w:fldCharType="end"/>
      </w:r>
      <w:r w:rsidRPr="005D0BBC">
        <w:rPr>
          <w:rFonts w:ascii="Times New Roman" w:hAnsi="Times New Roman" w:cs="Times New Roman"/>
          <w:sz w:val="24"/>
          <w:szCs w:val="24"/>
          <w:lang w:val="en-US"/>
        </w:rPr>
        <w:t xml:space="preserve">. Communication ability is an important skill considering the era of communication technology, which is developing rapidly. The ability to convey ideas or ideas clearly to others </w:t>
      </w:r>
      <w:r w:rsidR="00C40C7A" w:rsidRPr="00C40C7A">
        <w:rPr>
          <w:rFonts w:ascii="Times New Roman" w:hAnsi="Times New Roman" w:cs="Times New Roman"/>
          <w:sz w:val="24"/>
          <w:szCs w:val="24"/>
          <w:lang w:val="en-US"/>
        </w:rPr>
        <w:t xml:space="preserve">is an essential skill </w:t>
      </w:r>
      <w:r w:rsidRPr="005D0BBC">
        <w:rPr>
          <w:rFonts w:ascii="Times New Roman" w:hAnsi="Times New Roman" w:cs="Times New Roman"/>
          <w:sz w:val="24"/>
          <w:szCs w:val="24"/>
          <w:lang w:val="en-US"/>
        </w:rPr>
        <w:t>to be trained in learning. Various methods that involve students interacting and communicating ideas or ideas are very important to develop.</w:t>
      </w:r>
    </w:p>
    <w:p w14:paraId="59135351" w14:textId="0755A451" w:rsidR="005D0BBC" w:rsidRPr="005D0BBC" w:rsidRDefault="005D0BBC" w:rsidP="008326FA">
      <w:pPr>
        <w:spacing w:after="0" w:line="276" w:lineRule="auto"/>
        <w:ind w:firstLine="720"/>
        <w:jc w:val="both"/>
        <w:rPr>
          <w:rFonts w:ascii="Times New Roman" w:hAnsi="Times New Roman" w:cs="Times New Roman"/>
          <w:sz w:val="24"/>
          <w:szCs w:val="24"/>
          <w:lang w:val="en-US"/>
        </w:rPr>
      </w:pPr>
      <w:r w:rsidRPr="005D0BBC">
        <w:rPr>
          <w:rFonts w:ascii="Times New Roman" w:hAnsi="Times New Roman" w:cs="Times New Roman"/>
          <w:sz w:val="24"/>
          <w:szCs w:val="24"/>
          <w:lang w:val="en-US"/>
        </w:rPr>
        <w:t xml:space="preserve">In the critical thinking digital skills aspect, the self-regulation indicator is the criterion with the lowest percentage, namely 50.4%. Self-regulation is the ability to regulate yourself, examine yourself and correct yourself. Digital information that is widespread online related to subject </w:t>
      </w:r>
      <w:r w:rsidRPr="005D0BBC">
        <w:rPr>
          <w:rFonts w:ascii="Times New Roman" w:hAnsi="Times New Roman" w:cs="Times New Roman"/>
          <w:sz w:val="24"/>
          <w:szCs w:val="24"/>
          <w:lang w:val="en-US"/>
        </w:rPr>
        <w:lastRenderedPageBreak/>
        <w:t xml:space="preserve">matter or general information can be used to support the learning process. Critical thinking digital skills </w:t>
      </w:r>
      <w:r w:rsidR="00C40C7A" w:rsidRPr="00C40C7A">
        <w:rPr>
          <w:rFonts w:ascii="Times New Roman" w:hAnsi="Times New Roman" w:cs="Times New Roman"/>
          <w:sz w:val="24"/>
          <w:szCs w:val="24"/>
          <w:lang w:val="en-US"/>
        </w:rPr>
        <w:t xml:space="preserve">as </w:t>
      </w:r>
      <w:r w:rsidRPr="005D0BBC">
        <w:rPr>
          <w:rFonts w:ascii="Times New Roman" w:hAnsi="Times New Roman" w:cs="Times New Roman"/>
          <w:sz w:val="24"/>
          <w:szCs w:val="24"/>
          <w:lang w:val="en-US"/>
        </w:rPr>
        <w:t xml:space="preserve">indicators of self-regulation are necessary and owned by students. Students can independently plan, help, and evaluate themselves in learning activities such as managing time, repeating lessons, and setting study schedules to achieve predetermined goals or targets </w:t>
      </w:r>
      <w:r>
        <w:rPr>
          <w:rStyle w:val="fontstyle01"/>
          <w:rFonts w:ascii="Times New Roman" w:hAnsi="Times New Roman" w:cs="Times New Roman"/>
          <w:b w:val="0"/>
          <w:bCs w:val="0"/>
          <w:sz w:val="24"/>
          <w:szCs w:val="24"/>
          <w:lang w:val="sv-SE"/>
        </w:rPr>
        <w:fldChar w:fldCharType="begin" w:fldLock="1"/>
      </w:r>
      <w:r w:rsidRPr="005D0BBC">
        <w:rPr>
          <w:rStyle w:val="fontstyle01"/>
          <w:rFonts w:ascii="Times New Roman" w:hAnsi="Times New Roman" w:cs="Times New Roman"/>
          <w:b w:val="0"/>
          <w:bCs w:val="0"/>
          <w:sz w:val="24"/>
          <w:szCs w:val="24"/>
          <w:lang w:val="en-US"/>
        </w:rPr>
        <w:instrText>ADDIN CSL_CITATION {"citationItems":[{"id":"ITEM-1","itemData":{"DOI":"10.1177/10742956211020666","ISBN":"1074295621102","ISSN":"21635323","abstract":"The term self-regulation (SR) refers to a set of specific cognitive skills necessary for students to independently manage, monitor, and assess their own academic learning and behavior. Students with and at risk for emotional and behavioral disorders (EBD) often lack these skills. This article provides educators with step-by-step procedures and information on three research- or evidence-based SR strategies they can implement in their classrooms: self-regulated strategy development, self-monitoring, and strategy instruction.","author":[{"dropping-particle":"","family":"Moohr","given":"Michele L.","non-dropping-particle":"","parse-names":false,"suffix":""},{"dropping-particle":"","family":"Balint-Langel","given":"Kinga","non-dropping-particle":"","parse-names":false,"suffix":""},{"dropping-particle":"","family":"Taylor","given":"Jonté C.","non-dropping-particle":"","parse-names":false,"suffix":""},{"dropping-particle":"","family":"Rizzo","given":"Karen L.","non-dropping-particle":"","parse-names":false,"suffix":""}],"container-title":"Beyond Behavior","id":"ITEM-1","issue":"2","issued":{"date-parts":[["2021"]]},"page":"85-96","title":"Practicing Academic Independence: Self-Regulation Strategies for Students with Emotional and Behavioral Disorders","type":"article-journal","volume":"30"},"uris":["http://www.mendeley.com/documents/?uuid=89a28596-34c3-452a-9219-660ecd39b0e6"]}],"mendeley":{"formattedCitation":"(Moohr et al., 2021)","plainTextFormattedCitation":"(Moohr et al., 2021)","previouslyFormattedCitation":"(Moohr et al., 2021)"},"properties":{"noteIndex":0},"schema":"https://github.com/citation-style-language/schema/raw/master/csl-citation.json"}</w:instrText>
      </w:r>
      <w:r>
        <w:rPr>
          <w:rStyle w:val="fontstyle01"/>
          <w:rFonts w:ascii="Times New Roman" w:hAnsi="Times New Roman" w:cs="Times New Roman"/>
          <w:b w:val="0"/>
          <w:bCs w:val="0"/>
          <w:sz w:val="24"/>
          <w:szCs w:val="24"/>
          <w:lang w:val="sv-SE"/>
        </w:rPr>
        <w:fldChar w:fldCharType="separate"/>
      </w:r>
      <w:r w:rsidRPr="005D0BBC">
        <w:rPr>
          <w:rStyle w:val="fontstyle01"/>
          <w:rFonts w:ascii="Times New Roman" w:hAnsi="Times New Roman" w:cs="Times New Roman"/>
          <w:b w:val="0"/>
          <w:bCs w:val="0"/>
          <w:noProof/>
          <w:sz w:val="24"/>
          <w:szCs w:val="24"/>
          <w:lang w:val="en-US"/>
        </w:rPr>
        <w:t>(Moohr et al., 2021)</w:t>
      </w:r>
      <w:r>
        <w:rPr>
          <w:rStyle w:val="fontstyle01"/>
          <w:rFonts w:ascii="Times New Roman" w:hAnsi="Times New Roman" w:cs="Times New Roman"/>
          <w:b w:val="0"/>
          <w:bCs w:val="0"/>
          <w:sz w:val="24"/>
          <w:szCs w:val="24"/>
          <w:lang w:val="sv-SE"/>
        </w:rPr>
        <w:fldChar w:fldCharType="end"/>
      </w:r>
      <w:r w:rsidRPr="005D0BBC">
        <w:rPr>
          <w:rFonts w:ascii="Times New Roman" w:hAnsi="Times New Roman" w:cs="Times New Roman"/>
          <w:sz w:val="24"/>
          <w:szCs w:val="24"/>
          <w:lang w:val="en-US"/>
        </w:rPr>
        <w:t xml:space="preserve">. Students need to be equipped with good critical thinking skills, one of which </w:t>
      </w:r>
      <w:r w:rsidR="00C40C7A" w:rsidRPr="00C40C7A">
        <w:rPr>
          <w:rFonts w:ascii="Times New Roman" w:hAnsi="Times New Roman" w:cs="Times New Roman"/>
          <w:sz w:val="24"/>
          <w:szCs w:val="24"/>
          <w:lang w:val="en-US"/>
        </w:rPr>
        <w:t xml:space="preserve">comes </w:t>
      </w:r>
      <w:r w:rsidRPr="005D0BBC">
        <w:rPr>
          <w:rFonts w:ascii="Times New Roman" w:hAnsi="Times New Roman" w:cs="Times New Roman"/>
          <w:sz w:val="24"/>
          <w:szCs w:val="24"/>
          <w:lang w:val="en-US"/>
        </w:rPr>
        <w:t xml:space="preserve">through learning. Critical thinking skills can be developed through reciprocal teaching strategies </w:t>
      </w:r>
      <w:r>
        <w:rPr>
          <w:rStyle w:val="fontstyle01"/>
          <w:rFonts w:ascii="Times New Roman" w:hAnsi="Times New Roman" w:cs="Times New Roman"/>
          <w:b w:val="0"/>
          <w:bCs w:val="0"/>
          <w:sz w:val="24"/>
          <w:szCs w:val="24"/>
          <w:lang w:val="sv-SE"/>
        </w:rPr>
        <w:fldChar w:fldCharType="begin" w:fldLock="1"/>
      </w:r>
      <w:r w:rsidRPr="005D0BBC">
        <w:rPr>
          <w:rStyle w:val="fontstyle01"/>
          <w:rFonts w:ascii="Times New Roman" w:hAnsi="Times New Roman" w:cs="Times New Roman"/>
          <w:b w:val="0"/>
          <w:bCs w:val="0"/>
          <w:sz w:val="24"/>
          <w:szCs w:val="24"/>
          <w:lang w:val="en-US"/>
        </w:rPr>
        <w:instrText>ADDIN CSL_CITATION {"citationItems":[{"id":"ITEM-1","itemData":{"DOI":"10.29333/EJMSTE/11506","ISSN":"13058223","abstract":"In Palestine, issues about word problem solving and physics critical thinking have led to a deep understanding of factors affecting physics problem solving among Palestinian students. The influence of Reciprocal Teaching on physics students’ critical thinking skills among 10th-grade students in Palestine was investigated in the study. The study used a quasi-experimental research design. Two treatment groups (male and female) and two control groups were randomly allocated to four intact courses (male and female). All four groups included a total of 120 participants who were preand post-tested on their critical thinking skills in physics. Preliminary checks were performed prior to inferential testing to ensure that the one-way MANCOVA assumptions were not violated. After adjusting for physics word problem-solving pre-test scores for critical thinking skills, one-way MANCOVA results show that reciprocal teaching strategy has a considerable effect on critical thinking skills at p&lt;.05 level between the groups F(1, 118)=336.649, p=.001˂.05. In addition, the two-way MANCOVA results for the interaction effect of gender and method is not large in critical thinking skills, with F(1, 116)=3.5, p=.064&gt;.05 but is big in two sub-skills interpretation, with F(1, 116)=5.187, p=.025˂.05, an</w:instrText>
      </w:r>
      <w:r>
        <w:rPr>
          <w:rStyle w:val="fontstyle01"/>
          <w:rFonts w:ascii="Times New Roman" w:hAnsi="Times New Roman" w:cs="Times New Roman"/>
          <w:b w:val="0"/>
          <w:bCs w:val="0"/>
          <w:sz w:val="24"/>
          <w:szCs w:val="24"/>
          <w:lang w:val="sv-SE"/>
        </w:rPr>
        <w:instrText>d evaluating arguments skill, with F(1, 116)=5.463, p=.021˂</w:instrText>
      </w:r>
      <w:r w:rsidRPr="0072313A">
        <w:rPr>
          <w:rStyle w:val="fontstyle01"/>
          <w:rFonts w:ascii="Times New Roman" w:hAnsi="Times New Roman" w:cs="Times New Roman"/>
          <w:b w:val="0"/>
          <w:bCs w:val="0"/>
          <w:sz w:val="24"/>
          <w:szCs w:val="24"/>
          <w:lang w:val="en-US"/>
        </w:rPr>
        <w:instrText>.05 in favour for male students. As a result, using a reciprocal teaching technique to learn physics topics is more effective than using a standard method, and it is applicable and effective for both male and female students. This study has implications for policymakers to encourage the implementation of an integrated reciprocal teaching strategy in schools. It also has implications for teachers’ instructional practices in the classroom.","author":[{"dropping-particle":"","family":"Mafarja","given":"Nofouz","non-dropping-particle":"","parse-names":false,"suffix":""},{"dropping-particle":"","family":"Zulnaidi","given":"Hutkemri","non-dropping-particle":"","parse-names":false,"suffix":""},{"dropping-particle":"","family":"Mohd. Fadzil","given":"Hidayah","non-dropping-particle":"","parse-names":false,"suffix":""}],"container-title":"Eurasia Journal of Mathematics, Science and Technology Education","id":"ITEM-1","issue":"1","issued":{"date-parts":[["2022"]]},"page":"1-14","title":"Using Reciprocal Teaching Strategy to Improve Physics Students’ Critical Thinking Ability","type":"article-journal","volume":"18"},"uris":["http://www.mendeley.com/documents/?uuid=8d5b0567-f4e2-4594-a5f1-6581d8be2b22"]}],"mendeley":{"formattedCitation":"(Mafarja et al., 2022)","plainTextFormattedCitation":"(Mafarja et al., 2022)","previouslyFormattedCitation":"(Mafarja et al., 2022)"},"properties":{"noteIndex":0},"schema":"https://github.com/citation-style-language/schema/raw/master/csl-citation.json"}</w:instrText>
      </w:r>
      <w:r>
        <w:rPr>
          <w:rStyle w:val="fontstyle01"/>
          <w:rFonts w:ascii="Times New Roman" w:hAnsi="Times New Roman" w:cs="Times New Roman"/>
          <w:b w:val="0"/>
          <w:bCs w:val="0"/>
          <w:sz w:val="24"/>
          <w:szCs w:val="24"/>
          <w:lang w:val="sv-SE"/>
        </w:rPr>
        <w:fldChar w:fldCharType="separate"/>
      </w:r>
      <w:r w:rsidRPr="0072313A">
        <w:rPr>
          <w:rStyle w:val="fontstyle01"/>
          <w:rFonts w:ascii="Times New Roman" w:hAnsi="Times New Roman" w:cs="Times New Roman"/>
          <w:b w:val="0"/>
          <w:bCs w:val="0"/>
          <w:noProof/>
          <w:sz w:val="24"/>
          <w:szCs w:val="24"/>
          <w:lang w:val="en-US"/>
        </w:rPr>
        <w:t>(Mafarja et al., 2022)</w:t>
      </w:r>
      <w:r>
        <w:rPr>
          <w:rStyle w:val="fontstyle01"/>
          <w:rFonts w:ascii="Times New Roman" w:hAnsi="Times New Roman" w:cs="Times New Roman"/>
          <w:b w:val="0"/>
          <w:bCs w:val="0"/>
          <w:sz w:val="24"/>
          <w:szCs w:val="24"/>
          <w:lang w:val="sv-SE"/>
        </w:rPr>
        <w:fldChar w:fldCharType="end"/>
      </w:r>
      <w:r w:rsidRPr="005D0BBC">
        <w:rPr>
          <w:rFonts w:ascii="Times New Roman" w:hAnsi="Times New Roman" w:cs="Times New Roman"/>
          <w:sz w:val="24"/>
          <w:szCs w:val="24"/>
          <w:lang w:val="en-US"/>
        </w:rPr>
        <w:t xml:space="preserve">, online flipped classrooms </w:t>
      </w:r>
      <w:r>
        <w:rPr>
          <w:rStyle w:val="fontstyle01"/>
          <w:rFonts w:ascii="Times New Roman" w:hAnsi="Times New Roman" w:cs="Times New Roman"/>
          <w:b w:val="0"/>
          <w:bCs w:val="0"/>
          <w:sz w:val="24"/>
          <w:szCs w:val="24"/>
          <w:lang w:val="sv-SE"/>
        </w:rPr>
        <w:fldChar w:fldCharType="begin" w:fldLock="1"/>
      </w:r>
      <w:r w:rsidRPr="0072313A">
        <w:rPr>
          <w:rStyle w:val="fontstyle01"/>
          <w:rFonts w:ascii="Times New Roman" w:hAnsi="Times New Roman" w:cs="Times New Roman"/>
          <w:b w:val="0"/>
          <w:bCs w:val="0"/>
          <w:sz w:val="24"/>
          <w:szCs w:val="24"/>
          <w:lang w:val="en-US"/>
        </w:rPr>
        <w:instrText>ADDIN CSL_CITATION {"citationItems":[{"id":"ITEM-1","itemData":{"DOI":"10.17509/jsl.v5i3.43107","author":[{"dropping-particle":"","family":"Widodo","given":"Wahono","non-dropping-particle":"","parse-names":false,"suffix":""}],"container-title":"Journal of Science Learning","id":"ITEM-1","issue":"2","issued":{"date-parts":[["2022"]]},"title":"Online Flipped Classroom: Developing Postgraduate Science Education Students ’ Critical Thinking Skills","type":"article-journal","volume":"5"},"uris":["http://www.mendeley.com/documents/?uuid=4f452f62-4a82-4f6d-b89f-94749fe8a97b"]}],"mendeley":{"formattedCitation":"(Widodo, 2022)","plainTextFormattedCitation":"(Widodo, 2022)","previouslyFormattedCitation":"(Widodo, 2022)"},"properties":{"noteIndex":0},"schema":"https://github.com/citation-style-language/schema/raw/master/csl-citation.json"}</w:instrText>
      </w:r>
      <w:r>
        <w:rPr>
          <w:rStyle w:val="fontstyle01"/>
          <w:rFonts w:ascii="Times New Roman" w:hAnsi="Times New Roman" w:cs="Times New Roman"/>
          <w:b w:val="0"/>
          <w:bCs w:val="0"/>
          <w:sz w:val="24"/>
          <w:szCs w:val="24"/>
          <w:lang w:val="sv-SE"/>
        </w:rPr>
        <w:fldChar w:fldCharType="separate"/>
      </w:r>
      <w:r w:rsidRPr="0072313A">
        <w:rPr>
          <w:rStyle w:val="fontstyle01"/>
          <w:rFonts w:ascii="Times New Roman" w:hAnsi="Times New Roman" w:cs="Times New Roman"/>
          <w:b w:val="0"/>
          <w:bCs w:val="0"/>
          <w:noProof/>
          <w:sz w:val="24"/>
          <w:szCs w:val="24"/>
          <w:lang w:val="en-US"/>
        </w:rPr>
        <w:t>(Widodo, 2022)</w:t>
      </w:r>
      <w:r>
        <w:rPr>
          <w:rStyle w:val="fontstyle01"/>
          <w:rFonts w:ascii="Times New Roman" w:hAnsi="Times New Roman" w:cs="Times New Roman"/>
          <w:b w:val="0"/>
          <w:bCs w:val="0"/>
          <w:sz w:val="24"/>
          <w:szCs w:val="24"/>
          <w:lang w:val="sv-SE"/>
        </w:rPr>
        <w:fldChar w:fldCharType="end"/>
      </w:r>
      <w:r w:rsidRPr="005D0BBC">
        <w:rPr>
          <w:rFonts w:ascii="Times New Roman" w:hAnsi="Times New Roman" w:cs="Times New Roman"/>
          <w:sz w:val="24"/>
          <w:szCs w:val="24"/>
          <w:lang w:val="en-US"/>
        </w:rPr>
        <w:t xml:space="preserve">, guided inquiry learning models </w:t>
      </w:r>
      <w:r>
        <w:rPr>
          <w:rStyle w:val="fontstyle01"/>
          <w:rFonts w:ascii="Times New Roman" w:hAnsi="Times New Roman" w:cs="Times New Roman"/>
          <w:b w:val="0"/>
          <w:bCs w:val="0"/>
          <w:sz w:val="24"/>
          <w:szCs w:val="24"/>
          <w:lang w:val="sv-SE"/>
        </w:rPr>
        <w:fldChar w:fldCharType="begin" w:fldLock="1"/>
      </w:r>
      <w:r w:rsidRPr="0072313A">
        <w:rPr>
          <w:rStyle w:val="fontstyle01"/>
          <w:rFonts w:ascii="Times New Roman" w:hAnsi="Times New Roman" w:cs="Times New Roman"/>
          <w:b w:val="0"/>
          <w:bCs w:val="0"/>
          <w:sz w:val="24"/>
          <w:szCs w:val="24"/>
          <w:lang w:val="en-US"/>
        </w:rPr>
        <w:instrText>ADDIN CSL_CITATION {"citationItems":[{"id":"ITEM-1","itemData":{"DOI":"10.5539/ies.v13n6p117","ISSN":"1913-9020","abstract":"This research aims to implement the guided inquiry learning model to improve the understanding of concepts and critical thinking skills of Vocational High School (SMK) students. The quasi-experiment method with the randomized pretest-posttest control group design was used to obtain data from students of one of the Vocational High Schools (SMK) in Bandung, West Java, Indonesia. The sample consisted of 28 experiment and control class</w:instrText>
      </w:r>
      <w:r w:rsidRPr="005D0BBC">
        <w:rPr>
          <w:rStyle w:val="fontstyle01"/>
          <w:rFonts w:ascii="Times New Roman" w:hAnsi="Times New Roman" w:cs="Times New Roman"/>
          <w:b w:val="0"/>
          <w:bCs w:val="0"/>
          <w:sz w:val="24"/>
          <w:szCs w:val="24"/>
          <w:lang w:val="en-US"/>
        </w:rPr>
        <w:instrText xml:space="preserve"> students tha</w:instrText>
      </w:r>
      <w:r>
        <w:rPr>
          <w:rStyle w:val="fontstyle01"/>
          <w:rFonts w:ascii="Times New Roman" w:hAnsi="Times New Roman" w:cs="Times New Roman"/>
          <w:b w:val="0"/>
          <w:bCs w:val="0"/>
          <w:sz w:val="24"/>
          <w:szCs w:val="24"/>
          <w:lang w:val="sv-SE"/>
        </w:rPr>
        <w:instrText>t carried out a guided inquiry and conventional learning, respectively. The result shows an average increase in understanding of physics concepts and critical thinking skills of the experimental class by 0.71 (high category) and the control class by 0.28 (low category). Based on the average test results using the independent sample t-test method, the understanding of physics concepts and the critical thinking skills of the experimental class was</w:instrText>
      </w:r>
      <w:r w:rsidRPr="0072313A">
        <w:rPr>
          <w:rStyle w:val="fontstyle01"/>
          <w:rFonts w:ascii="Times New Roman" w:hAnsi="Times New Roman" w:cs="Times New Roman"/>
          <w:b w:val="0"/>
          <w:bCs w:val="0"/>
          <w:sz w:val="24"/>
          <w:szCs w:val="24"/>
          <w:lang w:val="en-US"/>
        </w:rPr>
        <w:instrText xml:space="preserve"> eminent to the control class. Furthermore, the research instruments were tests of understanding concepts and critical thinking skills with an average increase of 0.71 in the high category and 0.28 in the low category, respectively. The result showed that the implementation of guided inquiry learning models has the ability to significantly improve the understanding of static fluid concepts and critical thinking skills of Vocational High School students compared to conventional learning. This was because it provided the opportunity for students to independently construct a concept through problem presentation, formulation of hypotheses, data collection, analysis, and conclusions.","author":[{"dropping-particle":"","family":"Maknun","given":"Johar","non-dropping-particle":"","parse-names":false,"suffix":""}],"container-title":"International Education Studies","id":"ITEM-1","issue":"6","issued":{"date-parts":[["2020"]]},"page":"117","title":"Implementation of Guided Inquiry Learning Model to Improve Understanding Physics Concepts and Critical Thinking Skill of Vocational High School Students","type":"article-journal","volume":"13"},"uris":["http://www.mendeley.com/documents/?uuid=05f4054b-a8a5-4179-8bce-b69ab22aeab2"]}],"mendeley":{"formattedCitation":"(Maknun, 2020)","plainTextFormattedCitation":"(Maknun, 2020)","previouslyFormattedCitation":"(Maknun, 2020)"},"properties":{"noteIndex":0},"schema":"https://github.com/citation-style-language/schema/raw/master/csl-citation.json"}</w:instrText>
      </w:r>
      <w:r>
        <w:rPr>
          <w:rStyle w:val="fontstyle01"/>
          <w:rFonts w:ascii="Times New Roman" w:hAnsi="Times New Roman" w:cs="Times New Roman"/>
          <w:b w:val="0"/>
          <w:bCs w:val="0"/>
          <w:sz w:val="24"/>
          <w:szCs w:val="24"/>
          <w:lang w:val="sv-SE"/>
        </w:rPr>
        <w:fldChar w:fldCharType="separate"/>
      </w:r>
      <w:r w:rsidRPr="0072313A">
        <w:rPr>
          <w:rStyle w:val="fontstyle01"/>
          <w:rFonts w:ascii="Times New Roman" w:hAnsi="Times New Roman" w:cs="Times New Roman"/>
          <w:b w:val="0"/>
          <w:bCs w:val="0"/>
          <w:noProof/>
          <w:sz w:val="24"/>
          <w:szCs w:val="24"/>
          <w:lang w:val="en-US"/>
        </w:rPr>
        <w:t>(Maknun, 2020)</w:t>
      </w:r>
      <w:r>
        <w:rPr>
          <w:rStyle w:val="fontstyle01"/>
          <w:rFonts w:ascii="Times New Roman" w:hAnsi="Times New Roman" w:cs="Times New Roman"/>
          <w:b w:val="0"/>
          <w:bCs w:val="0"/>
          <w:sz w:val="24"/>
          <w:szCs w:val="24"/>
          <w:lang w:val="sv-SE"/>
        </w:rPr>
        <w:fldChar w:fldCharType="end"/>
      </w:r>
      <w:r w:rsidRPr="005D0BBC">
        <w:rPr>
          <w:rFonts w:ascii="Times New Roman" w:hAnsi="Times New Roman" w:cs="Times New Roman"/>
          <w:sz w:val="24"/>
          <w:szCs w:val="24"/>
          <w:lang w:val="en-US"/>
        </w:rPr>
        <w:t xml:space="preserve">, and the STEM approach </w:t>
      </w:r>
      <w:r>
        <w:rPr>
          <w:rStyle w:val="fontstyle01"/>
          <w:rFonts w:ascii="Times New Roman" w:hAnsi="Times New Roman" w:cs="Times New Roman"/>
          <w:b w:val="0"/>
          <w:bCs w:val="0"/>
          <w:sz w:val="24"/>
          <w:szCs w:val="24"/>
          <w:lang w:val="sv-SE"/>
        </w:rPr>
        <w:fldChar w:fldCharType="begin" w:fldLock="1"/>
      </w:r>
      <w:r w:rsidRPr="0072313A">
        <w:rPr>
          <w:rStyle w:val="fontstyle01"/>
          <w:rFonts w:ascii="Times New Roman" w:hAnsi="Times New Roman" w:cs="Times New Roman"/>
          <w:b w:val="0"/>
          <w:bCs w:val="0"/>
          <w:sz w:val="24"/>
          <w:szCs w:val="24"/>
          <w:lang w:val="en-US"/>
        </w:rPr>
        <w:instrText>ADDIN CSL_CITATION {"citationItems":[{"id":"ITEM-1","itemData":{"DOI":"10.20897/ejsteme/12481","abstract":"Globally, critical thinking skills have been acknowledged as an important goal of education and integrated STEM-based approaches have been reported to have the potential to enhance critical thinking. Therefore, this study examined integrated STEM instructional material for genetic learning to increase secondary school biology students’ critical thinking skills. The study adopted a quasi-experimental design, specifically a pre-test-post-test control group design. The sample size was made up of 112 students, two schools were randomly selected and assigned to the experimental and control group. The experimental group was made up of 58 students and the control group was 54. An integrated STEM approach module was developed for the experimental group, critical thinking skill test was used for pre-test and post-test data. The instrument yielded a reliability of between 0.71 - 0.76 for all the subskills of critical thinking skills. The pre-test results in all critical thinking subskills of inference, recognizing assumption, deduction, interpretation, and evaluation Wilks’ ˄ = .93, F (5, 94) = 1.370, p = (.24) &gt; 0.05, indicating that the two groups were equivalent in their critical thinking skills before treatment. The findings of the within-group comparison show that the experimental group shows a significant difference between pre-test and post-test with a large effect size (d2=1.56) compared to the control group with a small effect size (d2=0.01). The between-group comparison using MANOVA shows a significant difference in students’ critical thinking skills of inference, recognizing assumption, deduction, interpretation, and evaluating arguments (Wilks’ ˄ = .31, F (5,106) = .68, p = (0.00) &lt; 0.05). Therefore, it can be concluded that an integrated STEM approach was more effective in enhancing students’ critical thinking skills.","author":[{"dropping-particle":"","family":"Yaki","given":"Akawo Angwal","non-dropping-particle":"","parse-names":false,"suffix":""}],"container-title":"European Journal of STEM Education","id":"ITEM-1","issue":"1","issued":{"date-parts":[["2022"]]},"page":"06","title":"Fostering Critical Thinking Skills Using Integrated STEM Approach among Secondary School Biology Students","type":"article-journal","volume":"7"},"uris":["http://www.mendeley.com/documents/?uuid=81f1e704-c78c-425f-b19e-fd8cc94ec3a6"]}],"mendeley":{"formattedCitation":"(Yaki, 2022)","plainTextFormattedCitation":"(Yaki, 2022)","previouslyFormattedCitation":"(Yaki, 2022)"},"properties":{"noteIndex":0},"schema":"https://github.com/citation-style-language/schema/raw/master/csl-citation.json"}</w:instrText>
      </w:r>
      <w:r>
        <w:rPr>
          <w:rStyle w:val="fontstyle01"/>
          <w:rFonts w:ascii="Times New Roman" w:hAnsi="Times New Roman" w:cs="Times New Roman"/>
          <w:b w:val="0"/>
          <w:bCs w:val="0"/>
          <w:sz w:val="24"/>
          <w:szCs w:val="24"/>
          <w:lang w:val="sv-SE"/>
        </w:rPr>
        <w:fldChar w:fldCharType="separate"/>
      </w:r>
      <w:r w:rsidRPr="0072313A">
        <w:rPr>
          <w:rStyle w:val="fontstyle01"/>
          <w:rFonts w:ascii="Times New Roman" w:hAnsi="Times New Roman" w:cs="Times New Roman"/>
          <w:b w:val="0"/>
          <w:bCs w:val="0"/>
          <w:noProof/>
          <w:sz w:val="24"/>
          <w:szCs w:val="24"/>
          <w:lang w:val="en-US"/>
        </w:rPr>
        <w:t>(Yaki, 2022)</w:t>
      </w:r>
      <w:r>
        <w:rPr>
          <w:rStyle w:val="fontstyle01"/>
          <w:rFonts w:ascii="Times New Roman" w:hAnsi="Times New Roman" w:cs="Times New Roman"/>
          <w:b w:val="0"/>
          <w:bCs w:val="0"/>
          <w:sz w:val="24"/>
          <w:szCs w:val="24"/>
          <w:lang w:val="sv-SE"/>
        </w:rPr>
        <w:fldChar w:fldCharType="end"/>
      </w:r>
      <w:r w:rsidRPr="005D0BBC">
        <w:rPr>
          <w:rFonts w:ascii="Times New Roman" w:hAnsi="Times New Roman" w:cs="Times New Roman"/>
          <w:sz w:val="24"/>
          <w:szCs w:val="24"/>
          <w:lang w:val="en-US"/>
        </w:rPr>
        <w:t>.</w:t>
      </w:r>
      <w:r w:rsidR="00BB7A14" w:rsidRPr="005D0BBC">
        <w:rPr>
          <w:rFonts w:ascii="Times New Roman" w:hAnsi="Times New Roman" w:cs="Times New Roman"/>
          <w:sz w:val="24"/>
          <w:szCs w:val="24"/>
          <w:lang w:val="en-US"/>
        </w:rPr>
        <w:t xml:space="preserve"> </w:t>
      </w:r>
    </w:p>
    <w:p w14:paraId="20448CBC" w14:textId="21AF657B" w:rsidR="005D0BBC" w:rsidRPr="005D0BBC" w:rsidRDefault="005D0BBC" w:rsidP="008326FA">
      <w:pPr>
        <w:spacing w:after="0" w:line="276" w:lineRule="auto"/>
        <w:ind w:firstLine="720"/>
        <w:jc w:val="both"/>
        <w:rPr>
          <w:rFonts w:ascii="Times New Roman" w:hAnsi="Times New Roman" w:cs="Times New Roman"/>
          <w:sz w:val="24"/>
          <w:szCs w:val="24"/>
          <w:lang w:val="en-US"/>
        </w:rPr>
      </w:pPr>
      <w:r w:rsidRPr="005D0BBC">
        <w:rPr>
          <w:rFonts w:ascii="Times New Roman" w:hAnsi="Times New Roman" w:cs="Times New Roman"/>
          <w:sz w:val="24"/>
          <w:szCs w:val="24"/>
          <w:lang w:val="en-US"/>
        </w:rPr>
        <w:t xml:space="preserve">Skills that get high categories are collaboration digital skills. Collaborative </w:t>
      </w:r>
      <w:proofErr w:type="gramStart"/>
      <w:r w:rsidRPr="005D0BBC">
        <w:rPr>
          <w:rFonts w:ascii="Times New Roman" w:hAnsi="Times New Roman" w:cs="Times New Roman"/>
          <w:sz w:val="24"/>
          <w:szCs w:val="24"/>
          <w:lang w:val="en-US"/>
        </w:rPr>
        <w:t>digital  skills</w:t>
      </w:r>
      <w:proofErr w:type="gramEnd"/>
      <w:r w:rsidRPr="005D0BBC">
        <w:rPr>
          <w:rFonts w:ascii="Times New Roman" w:hAnsi="Times New Roman" w:cs="Times New Roman"/>
          <w:sz w:val="24"/>
          <w:szCs w:val="24"/>
          <w:lang w:val="en-US"/>
        </w:rPr>
        <w:t xml:space="preserve"> must be developed to be applied in education or work. With good collaborative skills, students can work in pairs or small groups to complete assignments with friends of different backgrounds (academic abilities, gender, culture). Students can also work flexibly and are willing to compromise with others to achieve common goals, and can show responsibility as team members to complete assigned tasks </w:t>
      </w:r>
      <w:r>
        <w:rPr>
          <w:rFonts w:ascii="Times New Roman" w:hAnsi="Times New Roman" w:cs="Times New Roman"/>
          <w:sz w:val="24"/>
          <w:szCs w:val="24"/>
          <w:lang w:val="sv-SE"/>
        </w:rPr>
        <w:fldChar w:fldCharType="begin" w:fldLock="1"/>
      </w:r>
      <w:r w:rsidRPr="005D0BBC">
        <w:rPr>
          <w:rFonts w:ascii="Times New Roman" w:hAnsi="Times New Roman" w:cs="Times New Roman"/>
          <w:sz w:val="24"/>
          <w:szCs w:val="24"/>
          <w:lang w:val="en-US"/>
        </w:rPr>
        <w:instrText>ADDIN CSL_CITATION {"citationItems":[{"id":"ITEM-1","itemData":{"DOI":"10.1080/00228958.2011.10516575","ISSN":"0022-8958","abstract":"Abstract Skills students will need for the society in which they will work and live shouldn't be thought of as “one more thing to teach,” but rather training integrated across all curricula.","author":[{"dropping-particle":"","family":"Larson","given":"Lotta C.","non-dropping-particle":"","parse-names":false,"suffix":""},{"dropping-particle":"","family":"Miller","given":"Teresa Northern","non-dropping-particle":"","parse-names":false,"suffix":""}],"container-title":"Kappa Delta Pi Record","id":"ITEM-1","issue":"3","issued":{"date-parts":[["2011"]]},"page":"121-123","title":"21st Century Skills: Prepare Students for the Future","type":"article-journal","volume":"47"},"uris":["http://www.mendeley.com/documents/?uuid=97111f37-16df-4fd4-961b-90d342e88738"]}],"mendeley":{"formattedCitation":"(Larson &amp; Miller, 2011)","plainTextFormattedCitation":"(Larson &amp; Miller, 2011)","previouslyFormattedCitation":"(Larson &amp; Miller, 2011)"},"properties":{"noteIndex":0},"schema":"https://github.com/citation-style-language/schema/raw/master/csl-citation.json"}</w:instrText>
      </w:r>
      <w:r>
        <w:rPr>
          <w:rFonts w:ascii="Times New Roman" w:hAnsi="Times New Roman" w:cs="Times New Roman"/>
          <w:sz w:val="24"/>
          <w:szCs w:val="24"/>
          <w:lang w:val="sv-SE"/>
        </w:rPr>
        <w:fldChar w:fldCharType="separate"/>
      </w:r>
      <w:r w:rsidRPr="005D0BBC">
        <w:rPr>
          <w:rFonts w:ascii="Times New Roman" w:hAnsi="Times New Roman" w:cs="Times New Roman"/>
          <w:noProof/>
          <w:sz w:val="24"/>
          <w:szCs w:val="24"/>
          <w:lang w:val="en-US"/>
        </w:rPr>
        <w:t>(Larson &amp; Miller, 2011)</w:t>
      </w:r>
      <w:r>
        <w:rPr>
          <w:rFonts w:ascii="Times New Roman" w:hAnsi="Times New Roman" w:cs="Times New Roman"/>
          <w:sz w:val="24"/>
          <w:szCs w:val="24"/>
          <w:lang w:val="sv-SE"/>
        </w:rPr>
        <w:fldChar w:fldCharType="end"/>
      </w:r>
      <w:r w:rsidRPr="005D0BBC">
        <w:rPr>
          <w:rFonts w:ascii="Times New Roman" w:hAnsi="Times New Roman" w:cs="Times New Roman"/>
          <w:sz w:val="24"/>
          <w:szCs w:val="24"/>
          <w:lang w:val="en-US"/>
        </w:rPr>
        <w:t>.</w:t>
      </w:r>
    </w:p>
    <w:p w14:paraId="56E6E996" w14:textId="77777777" w:rsidR="008326FA" w:rsidRPr="00451C94" w:rsidRDefault="008326FA" w:rsidP="001D5AAB">
      <w:pPr>
        <w:spacing w:after="0" w:line="276" w:lineRule="auto"/>
        <w:jc w:val="center"/>
        <w:rPr>
          <w:rFonts w:ascii="Times New Roman" w:hAnsi="Times New Roman" w:cs="Times New Roman"/>
          <w:sz w:val="24"/>
          <w:szCs w:val="24"/>
        </w:rPr>
      </w:pPr>
    </w:p>
    <w:p w14:paraId="2A945D76" w14:textId="65A0FDBC" w:rsidR="00451C94" w:rsidRDefault="00451C94" w:rsidP="00451C94">
      <w:pPr>
        <w:numPr>
          <w:ilvl w:val="0"/>
          <w:numId w:val="1"/>
        </w:numPr>
        <w:tabs>
          <w:tab w:val="left" w:pos="426"/>
        </w:tabs>
        <w:spacing w:after="0" w:line="276" w:lineRule="auto"/>
        <w:ind w:left="426" w:hanging="426"/>
        <w:rPr>
          <w:rFonts w:ascii="Times New Roman" w:hAnsi="Times New Roman" w:cs="Times New Roman"/>
          <w:b/>
          <w:bCs/>
          <w:sz w:val="24"/>
          <w:szCs w:val="24"/>
        </w:rPr>
      </w:pPr>
      <w:r w:rsidRPr="00451C94">
        <w:rPr>
          <w:rFonts w:ascii="Times New Roman" w:hAnsi="Times New Roman" w:cs="Times New Roman"/>
          <w:b/>
          <w:bCs/>
          <w:sz w:val="24"/>
          <w:szCs w:val="24"/>
        </w:rPr>
        <w:t>CONCLUSION</w:t>
      </w:r>
    </w:p>
    <w:p w14:paraId="7B023193" w14:textId="4291AD49" w:rsidR="006A6872" w:rsidRDefault="006A6872" w:rsidP="0071692C">
      <w:pPr>
        <w:spacing w:after="0" w:line="276" w:lineRule="auto"/>
        <w:ind w:firstLine="720"/>
        <w:jc w:val="both"/>
        <w:rPr>
          <w:rFonts w:ascii="Times New Roman" w:hAnsi="Times New Roman" w:cs="Times New Roman"/>
          <w:sz w:val="24"/>
          <w:szCs w:val="24"/>
        </w:rPr>
      </w:pPr>
      <w:r w:rsidRPr="006A6872">
        <w:rPr>
          <w:rFonts w:ascii="Times New Roman" w:hAnsi="Times New Roman" w:cs="Times New Roman"/>
          <w:sz w:val="24"/>
          <w:szCs w:val="24"/>
        </w:rPr>
        <w:t xml:space="preserve">4C skills in a digital context can be divided into critical thinking digital skills, creative digital skills, collaboration digital skills, digital communication skills. These skills are super skills individuals need to succeed in work and education. The survey results of UNSIQ Physics Education Study Program students found creative digital skills as the lowest aspect, with a value of 57.35% (low category) of digital 4C skills. In comparison, collaboration digital skills became the highest aspect with a value of 72.20% (high category). Another aspect, critical thinking digital skills (61.66%) and communication digital skills (69.24%), are in the medium category. </w:t>
      </w:r>
      <w:r w:rsidR="00AD75C9" w:rsidRPr="00AD75C9">
        <w:rPr>
          <w:rFonts w:ascii="Times New Roman" w:hAnsi="Times New Roman" w:cs="Times New Roman"/>
          <w:sz w:val="24"/>
          <w:szCs w:val="24"/>
        </w:rPr>
        <w:t>4C digital skills are urgently needed by students and workers in this era, so striving to develop these skills in education is necessary.</w:t>
      </w:r>
      <w:r w:rsidR="00AD75C9">
        <w:rPr>
          <w:rFonts w:ascii="Times New Roman" w:hAnsi="Times New Roman" w:cs="Times New Roman"/>
          <w:sz w:val="24"/>
          <w:szCs w:val="24"/>
          <w:lang w:val="en-US"/>
        </w:rPr>
        <w:t xml:space="preserve"> </w:t>
      </w:r>
      <w:r w:rsidRPr="006A6872">
        <w:rPr>
          <w:rFonts w:ascii="Times New Roman" w:hAnsi="Times New Roman" w:cs="Times New Roman"/>
          <w:sz w:val="24"/>
          <w:szCs w:val="24"/>
        </w:rPr>
        <w:t xml:space="preserve">The constructivism and connectivism approaches can be adopted in physics learning as an effort to improve the 4C </w:t>
      </w:r>
      <w:r w:rsidR="00C877E9" w:rsidRPr="006A6872">
        <w:rPr>
          <w:rFonts w:ascii="Times New Roman" w:hAnsi="Times New Roman" w:cs="Times New Roman"/>
          <w:sz w:val="24"/>
          <w:szCs w:val="24"/>
        </w:rPr>
        <w:t xml:space="preserve">digital </w:t>
      </w:r>
      <w:r w:rsidRPr="006A6872">
        <w:rPr>
          <w:rFonts w:ascii="Times New Roman" w:hAnsi="Times New Roman" w:cs="Times New Roman"/>
          <w:sz w:val="24"/>
          <w:szCs w:val="24"/>
        </w:rPr>
        <w:t xml:space="preserve">skills of </w:t>
      </w:r>
      <w:r w:rsidR="00C877E9">
        <w:rPr>
          <w:rFonts w:ascii="Times New Roman" w:hAnsi="Times New Roman" w:cs="Times New Roman"/>
          <w:sz w:val="24"/>
          <w:szCs w:val="24"/>
          <w:lang w:val="en-US"/>
        </w:rPr>
        <w:t xml:space="preserve">a pre-service </w:t>
      </w:r>
      <w:r w:rsidRPr="006A6872">
        <w:rPr>
          <w:rFonts w:ascii="Times New Roman" w:hAnsi="Times New Roman" w:cs="Times New Roman"/>
          <w:sz w:val="24"/>
          <w:szCs w:val="24"/>
        </w:rPr>
        <w:t>physics teacher. This approach integrates scientific activities supported by the use of ICT in learning.</w:t>
      </w:r>
    </w:p>
    <w:p w14:paraId="3C844C2A" w14:textId="24D81A50" w:rsidR="00451C94" w:rsidRDefault="00451C94" w:rsidP="00451C94">
      <w:pPr>
        <w:spacing w:after="0" w:line="276" w:lineRule="auto"/>
        <w:rPr>
          <w:rFonts w:ascii="Times New Roman" w:hAnsi="Times New Roman" w:cs="Times New Roman"/>
          <w:b/>
          <w:bCs/>
          <w:sz w:val="24"/>
          <w:szCs w:val="24"/>
        </w:rPr>
      </w:pPr>
      <w:r w:rsidRPr="00451C94">
        <w:rPr>
          <w:rStyle w:val="apple-style-span"/>
          <w:rFonts w:ascii="Times New Roman" w:hAnsi="Times New Roman" w:cs="Times New Roman"/>
          <w:b/>
          <w:color w:val="000000"/>
          <w:sz w:val="24"/>
          <w:szCs w:val="24"/>
          <w:lang w:val="pt-BR"/>
        </w:rPr>
        <w:t>REFERENCES</w:t>
      </w:r>
    </w:p>
    <w:p w14:paraId="3A6AC54B" w14:textId="77777777" w:rsidR="00451C94" w:rsidRPr="00451C94" w:rsidRDefault="00451C94" w:rsidP="00451C94">
      <w:pPr>
        <w:spacing w:after="0" w:line="276" w:lineRule="auto"/>
        <w:rPr>
          <w:rFonts w:ascii="Times New Roman" w:hAnsi="Times New Roman" w:cs="Times New Roman"/>
          <w:color w:val="000000"/>
          <w:sz w:val="24"/>
          <w:szCs w:val="24"/>
          <w:lang w:val="pt-BR"/>
        </w:rPr>
      </w:pPr>
    </w:p>
    <w:p w14:paraId="4883BB8C" w14:textId="30B9EAE0" w:rsidR="00BB7A14" w:rsidRPr="00BB7A14" w:rsidRDefault="000332EF"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cs="Times New Roman"/>
          <w:noProof/>
        </w:rPr>
        <w:fldChar w:fldCharType="begin" w:fldLock="1"/>
      </w:r>
      <w:r>
        <w:rPr>
          <w:rFonts w:cs="Times New Roman"/>
          <w:noProof/>
        </w:rPr>
        <w:instrText xml:space="preserve">ADDIN Mendeley Bibliography CSL_BIBLIOGRAPHY </w:instrText>
      </w:r>
      <w:r>
        <w:rPr>
          <w:rFonts w:cs="Times New Roman"/>
          <w:noProof/>
        </w:rPr>
        <w:fldChar w:fldCharType="separate"/>
      </w:r>
      <w:r w:rsidR="00BB7A14" w:rsidRPr="00BB7A14">
        <w:rPr>
          <w:rFonts w:ascii="Times New Roman" w:hAnsi="Times New Roman" w:cs="Times New Roman"/>
          <w:noProof/>
          <w:sz w:val="24"/>
          <w:szCs w:val="24"/>
        </w:rPr>
        <w:t xml:space="preserve">Agbowuro, C., Saidu, S., &amp; Jimwan, C. S. (2017). Creative and Functional Education: The Challenges and Prospects in a Comatose Economy. </w:t>
      </w:r>
      <w:r w:rsidR="00BB7A14" w:rsidRPr="00BB7A14">
        <w:rPr>
          <w:rFonts w:ascii="Times New Roman" w:hAnsi="Times New Roman" w:cs="Times New Roman"/>
          <w:i/>
          <w:iCs/>
          <w:noProof/>
          <w:sz w:val="24"/>
          <w:szCs w:val="24"/>
        </w:rPr>
        <w:t>Journal of Education and Practice</w:t>
      </w:r>
      <w:r w:rsidR="00BB7A14" w:rsidRPr="00BB7A14">
        <w:rPr>
          <w:rFonts w:ascii="Times New Roman" w:hAnsi="Times New Roman" w:cs="Times New Roman"/>
          <w:noProof/>
          <w:sz w:val="24"/>
          <w:szCs w:val="24"/>
        </w:rPr>
        <w:t xml:space="preserve">, </w:t>
      </w:r>
      <w:r w:rsidR="00BB7A14" w:rsidRPr="00BB7A14">
        <w:rPr>
          <w:rFonts w:ascii="Times New Roman" w:hAnsi="Times New Roman" w:cs="Times New Roman"/>
          <w:i/>
          <w:iCs/>
          <w:noProof/>
          <w:sz w:val="24"/>
          <w:szCs w:val="24"/>
        </w:rPr>
        <w:t>8</w:t>
      </w:r>
      <w:r w:rsidR="00BB7A14" w:rsidRPr="00BB7A14">
        <w:rPr>
          <w:rFonts w:ascii="Times New Roman" w:hAnsi="Times New Roman" w:cs="Times New Roman"/>
          <w:noProof/>
          <w:sz w:val="24"/>
          <w:szCs w:val="24"/>
        </w:rPr>
        <w:t>(8), 37–40. http://ezproxy.lib.uconn.edu/login?url=https://search.ebscohost.com/login.aspx?direct=true&amp;db=eric&amp;AN=EJ1138934&amp;site=ehost-live</w:t>
      </w:r>
    </w:p>
    <w:p w14:paraId="00BEC20E"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Amabile, T. M., &amp; Pratt, M. G. (2016). The dynamic componential model of creativity and innovation in organizations: Making progress, making meaning. </w:t>
      </w:r>
      <w:r w:rsidRPr="00BB7A14">
        <w:rPr>
          <w:rFonts w:ascii="Times New Roman" w:hAnsi="Times New Roman" w:cs="Times New Roman"/>
          <w:i/>
          <w:iCs/>
          <w:noProof/>
          <w:sz w:val="24"/>
          <w:szCs w:val="24"/>
        </w:rPr>
        <w:t>Research in Organizational Behavior</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36</w:t>
      </w:r>
      <w:r w:rsidRPr="00BB7A14">
        <w:rPr>
          <w:rFonts w:ascii="Times New Roman" w:hAnsi="Times New Roman" w:cs="Times New Roman"/>
          <w:noProof/>
          <w:sz w:val="24"/>
          <w:szCs w:val="24"/>
        </w:rPr>
        <w:t>, 157–183. https://doi.org/10.1016/j.riob.2016.10.001</w:t>
      </w:r>
    </w:p>
    <w:p w14:paraId="31273E8C"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Antonucci, T. C., Ajrouch, K. J., &amp; Manalel, J. A. (2017). Social Relations and Technology: Continuity, Context, and Change. </w:t>
      </w:r>
      <w:r w:rsidRPr="00BB7A14">
        <w:rPr>
          <w:rFonts w:ascii="Times New Roman" w:hAnsi="Times New Roman" w:cs="Times New Roman"/>
          <w:i/>
          <w:iCs/>
          <w:noProof/>
          <w:sz w:val="24"/>
          <w:szCs w:val="24"/>
        </w:rPr>
        <w:t>Innovation in Aging</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w:t>
      </w:r>
      <w:r w:rsidRPr="00BB7A14">
        <w:rPr>
          <w:rFonts w:ascii="Times New Roman" w:hAnsi="Times New Roman" w:cs="Times New Roman"/>
          <w:noProof/>
          <w:sz w:val="24"/>
          <w:szCs w:val="24"/>
        </w:rPr>
        <w:t>(3), 1–9. https://doi.org/10.1093/geroni/igx029</w:t>
      </w:r>
    </w:p>
    <w:p w14:paraId="499741D3"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Arikunto, S. (2016). </w:t>
      </w:r>
      <w:r w:rsidRPr="00BB7A14">
        <w:rPr>
          <w:rFonts w:ascii="Times New Roman" w:hAnsi="Times New Roman" w:cs="Times New Roman"/>
          <w:i/>
          <w:iCs/>
          <w:noProof/>
          <w:sz w:val="24"/>
          <w:szCs w:val="24"/>
        </w:rPr>
        <w:t>Prosedur Penelitian: Suatu Pendekatan Praktik</w:t>
      </w:r>
      <w:r w:rsidRPr="00BB7A14">
        <w:rPr>
          <w:rFonts w:ascii="Times New Roman" w:hAnsi="Times New Roman" w:cs="Times New Roman"/>
          <w:noProof/>
          <w:sz w:val="24"/>
          <w:szCs w:val="24"/>
        </w:rPr>
        <w:t>. Rineka Cipta.</w:t>
      </w:r>
    </w:p>
    <w:p w14:paraId="4AC50D23"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Asrizal, Amran, A., Ananda, A., Festiyed, F., &amp; Sumarmin, R. (2018). The development of integrated science instructional materials to improve students’ digital literacy in scientific approach. </w:t>
      </w:r>
      <w:r w:rsidRPr="00BB7A14">
        <w:rPr>
          <w:rFonts w:ascii="Times New Roman" w:hAnsi="Times New Roman" w:cs="Times New Roman"/>
          <w:i/>
          <w:iCs/>
          <w:noProof/>
          <w:sz w:val="24"/>
          <w:szCs w:val="24"/>
        </w:rPr>
        <w:t>Jurnal Pendidikan IPA Indonesia</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7</w:t>
      </w:r>
      <w:r w:rsidRPr="00BB7A14">
        <w:rPr>
          <w:rFonts w:ascii="Times New Roman" w:hAnsi="Times New Roman" w:cs="Times New Roman"/>
          <w:noProof/>
          <w:sz w:val="24"/>
          <w:szCs w:val="24"/>
        </w:rPr>
        <w:t>(4), 442–450. https://doi.org/10.15294/jpii.v7i4.13613</w:t>
      </w:r>
    </w:p>
    <w:p w14:paraId="0495D2D5"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Bekteshi, E. (2017). The ’fours cs - collaboration, communication, critical thinking and creativity at the faculty of arts (flup), university of porto, porto, portugal. </w:t>
      </w:r>
      <w:r w:rsidRPr="00BB7A14">
        <w:rPr>
          <w:rFonts w:ascii="Times New Roman" w:hAnsi="Times New Roman" w:cs="Times New Roman"/>
          <w:i/>
          <w:iCs/>
          <w:noProof/>
          <w:sz w:val="24"/>
          <w:szCs w:val="24"/>
        </w:rPr>
        <w:t xml:space="preserve">Journal of International Social </w:t>
      </w:r>
      <w:r w:rsidRPr="00BB7A14">
        <w:rPr>
          <w:rFonts w:ascii="Times New Roman" w:hAnsi="Times New Roman" w:cs="Times New Roman"/>
          <w:i/>
          <w:iCs/>
          <w:noProof/>
          <w:sz w:val="24"/>
          <w:szCs w:val="24"/>
        </w:rPr>
        <w:lastRenderedPageBreak/>
        <w:t>Research</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10</w:t>
      </w:r>
      <w:r w:rsidRPr="00BB7A14">
        <w:rPr>
          <w:rFonts w:ascii="Times New Roman" w:hAnsi="Times New Roman" w:cs="Times New Roman"/>
          <w:noProof/>
          <w:sz w:val="24"/>
          <w:szCs w:val="24"/>
        </w:rPr>
        <w:t>(50), 56–62. https://doi.org/10.17719/jisr.2017.1638</w:t>
      </w:r>
    </w:p>
    <w:p w14:paraId="02C5E410"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Binkley, M., Erstad, O., Herman, J., Ripley, M., Rumble, M., &amp; Miller-Ricci, M. (2012). Assessment and Teaching of 21st Century Skills (ATC21S). In </w:t>
      </w:r>
      <w:r w:rsidRPr="00BB7A14">
        <w:rPr>
          <w:rFonts w:ascii="Times New Roman" w:hAnsi="Times New Roman" w:cs="Times New Roman"/>
          <w:i/>
          <w:iCs/>
          <w:noProof/>
          <w:sz w:val="24"/>
          <w:szCs w:val="24"/>
        </w:rPr>
        <w:t>Griffin, P., McGaw, B., Care, E. (eds) Assessment and Teaching of 21st Century Skills</w:t>
      </w:r>
      <w:r w:rsidRPr="00BB7A14">
        <w:rPr>
          <w:rFonts w:ascii="Times New Roman" w:hAnsi="Times New Roman" w:cs="Times New Roman"/>
          <w:noProof/>
          <w:sz w:val="24"/>
          <w:szCs w:val="24"/>
        </w:rPr>
        <w:t>. Springer.</w:t>
      </w:r>
    </w:p>
    <w:p w14:paraId="7CCAF381"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Black, B. (2012). An overview of a programme of research to support the assessment of Critical Thinking. </w:t>
      </w:r>
      <w:r w:rsidRPr="00BB7A14">
        <w:rPr>
          <w:rFonts w:ascii="Times New Roman" w:hAnsi="Times New Roman" w:cs="Times New Roman"/>
          <w:i/>
          <w:iCs/>
          <w:noProof/>
          <w:sz w:val="24"/>
          <w:szCs w:val="24"/>
        </w:rPr>
        <w:t>Thinking Skills and Creativity</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7</w:t>
      </w:r>
      <w:r w:rsidRPr="00BB7A14">
        <w:rPr>
          <w:rFonts w:ascii="Times New Roman" w:hAnsi="Times New Roman" w:cs="Times New Roman"/>
          <w:noProof/>
          <w:sz w:val="24"/>
          <w:szCs w:val="24"/>
        </w:rPr>
        <w:t>(2), 122–133. https://doi.org/10.1016/j.tsc.2012.04.003</w:t>
      </w:r>
    </w:p>
    <w:p w14:paraId="10EC96D3"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Care, E., Kim, H., Vista, A., &amp; Anderson, K. (2018). Education system alignment for 21st century skills: Focus on assessment. In </w:t>
      </w:r>
      <w:r w:rsidRPr="00BB7A14">
        <w:rPr>
          <w:rFonts w:ascii="Times New Roman" w:hAnsi="Times New Roman" w:cs="Times New Roman"/>
          <w:i/>
          <w:iCs/>
          <w:noProof/>
          <w:sz w:val="24"/>
          <w:szCs w:val="24"/>
        </w:rPr>
        <w:t>Center for Universal Education at the Brookings Institution.</w:t>
      </w:r>
      <w:r w:rsidRPr="00BB7A14">
        <w:rPr>
          <w:rFonts w:ascii="Times New Roman" w:hAnsi="Times New Roman" w:cs="Times New Roman"/>
          <w:noProof/>
          <w:sz w:val="24"/>
          <w:szCs w:val="24"/>
        </w:rPr>
        <w:t xml:space="preserve"> Brookings Institute. https://onlinelibrary.wiley.com/doi/10.1111/cdev.13673</w:t>
      </w:r>
    </w:p>
    <w:p w14:paraId="5F62E9E7"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Cox, J., Foster, B., &amp; Bamat, D. (2019). </w:t>
      </w:r>
      <w:r w:rsidRPr="00BB7A14">
        <w:rPr>
          <w:rFonts w:ascii="Times New Roman" w:hAnsi="Times New Roman" w:cs="Times New Roman"/>
          <w:i/>
          <w:iCs/>
          <w:noProof/>
          <w:sz w:val="24"/>
          <w:szCs w:val="24"/>
        </w:rPr>
        <w:t>A Review of Instruments for Measuring Social and Emotional Learning Skills among Secondary School Students. REL 2020-010</w:t>
      </w:r>
      <w:r w:rsidRPr="00BB7A14">
        <w:rPr>
          <w:rFonts w:ascii="Times New Roman" w:hAnsi="Times New Roman" w:cs="Times New Roman"/>
          <w:noProof/>
          <w:sz w:val="24"/>
          <w:szCs w:val="24"/>
        </w:rPr>
        <w:t>. U.S. Department of Education, Institute of Education Sciences, National Center for Edu ­ cation Evaluation and Regional Assistance, Regional Educational Laboratory Northeast &amp; Islands.</w:t>
      </w:r>
    </w:p>
    <w:p w14:paraId="70B4272B"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Csikszentmihalyi, M. (1988). Motivation and creativity: Toward a synthesis of structural and energistic approaches to cognition. </w:t>
      </w:r>
      <w:r w:rsidRPr="00BB7A14">
        <w:rPr>
          <w:rFonts w:ascii="Times New Roman" w:hAnsi="Times New Roman" w:cs="Times New Roman"/>
          <w:i/>
          <w:iCs/>
          <w:noProof/>
          <w:sz w:val="24"/>
          <w:szCs w:val="24"/>
        </w:rPr>
        <w:t>New Ideas in Psychology</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6</w:t>
      </w:r>
      <w:r w:rsidRPr="00BB7A14">
        <w:rPr>
          <w:rFonts w:ascii="Times New Roman" w:hAnsi="Times New Roman" w:cs="Times New Roman"/>
          <w:noProof/>
          <w:sz w:val="24"/>
          <w:szCs w:val="24"/>
        </w:rPr>
        <w:t>(2), 159–176. https://doi.org/10.1016/0732-118X(88)90001-3</w:t>
      </w:r>
    </w:p>
    <w:p w14:paraId="4A4F9E2C"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Dawood, A. Q., Shaalan, U. H., &amp; Nsaif, A. K. (2022). The influence relationship of creative thinking on the quality of work life, an analytical study on people’s officials in the General Directorate of Education of Baghdad Governorate, Rusafa / second. </w:t>
      </w:r>
      <w:r w:rsidRPr="00BB7A14">
        <w:rPr>
          <w:rFonts w:ascii="Times New Roman" w:hAnsi="Times New Roman" w:cs="Times New Roman"/>
          <w:i/>
          <w:iCs/>
          <w:noProof/>
          <w:sz w:val="24"/>
          <w:szCs w:val="24"/>
        </w:rPr>
        <w:t>Technium Social Sciences Journal</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31</w:t>
      </w:r>
      <w:r w:rsidRPr="00BB7A14">
        <w:rPr>
          <w:rFonts w:ascii="Times New Roman" w:hAnsi="Times New Roman" w:cs="Times New Roman"/>
          <w:noProof/>
          <w:sz w:val="24"/>
          <w:szCs w:val="24"/>
        </w:rPr>
        <w:t>. www.techniumscience.com</w:t>
      </w:r>
    </w:p>
    <w:p w14:paraId="6B73DA12"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Dollinger, S. J., Urban, K. K., &amp; James, T. A. (2004). Creativity and Openness: Further Validation of Two Creative Product Measures. </w:t>
      </w:r>
      <w:r w:rsidRPr="00BB7A14">
        <w:rPr>
          <w:rFonts w:ascii="Times New Roman" w:hAnsi="Times New Roman" w:cs="Times New Roman"/>
          <w:i/>
          <w:iCs/>
          <w:noProof/>
          <w:sz w:val="24"/>
          <w:szCs w:val="24"/>
        </w:rPr>
        <w:t>Creativity Research Journal</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16</w:t>
      </w:r>
      <w:r w:rsidRPr="00BB7A14">
        <w:rPr>
          <w:rFonts w:ascii="Times New Roman" w:hAnsi="Times New Roman" w:cs="Times New Roman"/>
          <w:noProof/>
          <w:sz w:val="24"/>
          <w:szCs w:val="24"/>
        </w:rPr>
        <w:t>(1), 35–47. https://doi.org/10.1207/s15326934crj1601_4</w:t>
      </w:r>
    </w:p>
    <w:p w14:paraId="5681C771"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East, M. (2015). Taking communication to task – again: what difference does a decade make? </w:t>
      </w:r>
      <w:r w:rsidRPr="00BB7A14">
        <w:rPr>
          <w:rFonts w:ascii="Times New Roman" w:hAnsi="Times New Roman" w:cs="Times New Roman"/>
          <w:i/>
          <w:iCs/>
          <w:noProof/>
          <w:sz w:val="24"/>
          <w:szCs w:val="24"/>
        </w:rPr>
        <w:t>Language Learning Journal</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43</w:t>
      </w:r>
      <w:r w:rsidRPr="00BB7A14">
        <w:rPr>
          <w:rFonts w:ascii="Times New Roman" w:hAnsi="Times New Roman" w:cs="Times New Roman"/>
          <w:noProof/>
          <w:sz w:val="24"/>
          <w:szCs w:val="24"/>
        </w:rPr>
        <w:t>(1), 6–19. https://doi.org/10.1080/09571736.2012.723729</w:t>
      </w:r>
    </w:p>
    <w:p w14:paraId="4BCD3143"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Eggen, P., &amp; D. Kauchak. (2012). </w:t>
      </w:r>
      <w:r w:rsidRPr="00BB7A14">
        <w:rPr>
          <w:rFonts w:ascii="Times New Roman" w:hAnsi="Times New Roman" w:cs="Times New Roman"/>
          <w:i/>
          <w:iCs/>
          <w:noProof/>
          <w:sz w:val="24"/>
          <w:szCs w:val="24"/>
        </w:rPr>
        <w:t>Strategi dan Model Pembelajaran, Mengajar Konten dan Keterampilan Berpikir</w:t>
      </w:r>
      <w:r w:rsidRPr="00BB7A14">
        <w:rPr>
          <w:rFonts w:ascii="Times New Roman" w:hAnsi="Times New Roman" w:cs="Times New Roman"/>
          <w:noProof/>
          <w:sz w:val="24"/>
          <w:szCs w:val="24"/>
        </w:rPr>
        <w:t xml:space="preserve"> (6th ed.). Indeks.</w:t>
      </w:r>
    </w:p>
    <w:p w14:paraId="19E7B0CF"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Fusi, F., &amp; Zhang, F. (2020). Social Media Communication in the Workplace: Evidence From Public Employees’ Networks. </w:t>
      </w:r>
      <w:r w:rsidRPr="00BB7A14">
        <w:rPr>
          <w:rFonts w:ascii="Times New Roman" w:hAnsi="Times New Roman" w:cs="Times New Roman"/>
          <w:i/>
          <w:iCs/>
          <w:noProof/>
          <w:sz w:val="24"/>
          <w:szCs w:val="24"/>
        </w:rPr>
        <w:t>Review of Public Personnel Administration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40</w:t>
      </w:r>
      <w:r w:rsidRPr="00BB7A14">
        <w:rPr>
          <w:rFonts w:ascii="Times New Roman" w:hAnsi="Times New Roman" w:cs="Times New Roman"/>
          <w:noProof/>
          <w:sz w:val="24"/>
          <w:szCs w:val="24"/>
        </w:rPr>
        <w:t>(2), 245–271. https://doi.org/10.1177/0734371X18804016</w:t>
      </w:r>
    </w:p>
    <w:p w14:paraId="6876A407"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Griffin, P., McGaw, B., &amp; Care, E. (2012). </w:t>
      </w:r>
      <w:r w:rsidRPr="00BB7A14">
        <w:rPr>
          <w:rFonts w:ascii="Times New Roman" w:hAnsi="Times New Roman" w:cs="Times New Roman"/>
          <w:i/>
          <w:iCs/>
          <w:noProof/>
          <w:sz w:val="24"/>
          <w:szCs w:val="24"/>
        </w:rPr>
        <w:t>Assessment and Teaching of 21st Century Skills</w:t>
      </w:r>
      <w:r w:rsidRPr="00BB7A14">
        <w:rPr>
          <w:rFonts w:ascii="Times New Roman" w:hAnsi="Times New Roman" w:cs="Times New Roman"/>
          <w:noProof/>
          <w:sz w:val="24"/>
          <w:szCs w:val="24"/>
        </w:rPr>
        <w:t>. Springer.</w:t>
      </w:r>
    </w:p>
    <w:p w14:paraId="2A7F8E8A"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Guilford, J. P. (1957). Creative abilities in the arts. </w:t>
      </w:r>
      <w:r w:rsidRPr="00BB7A14">
        <w:rPr>
          <w:rFonts w:ascii="Times New Roman" w:hAnsi="Times New Roman" w:cs="Times New Roman"/>
          <w:i/>
          <w:iCs/>
          <w:noProof/>
          <w:sz w:val="24"/>
          <w:szCs w:val="24"/>
        </w:rPr>
        <w:t>Psychological Review</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64</w:t>
      </w:r>
      <w:r w:rsidRPr="00BB7A14">
        <w:rPr>
          <w:rFonts w:ascii="Times New Roman" w:hAnsi="Times New Roman" w:cs="Times New Roman"/>
          <w:noProof/>
          <w:sz w:val="24"/>
          <w:szCs w:val="24"/>
        </w:rPr>
        <w:t>(2), 110–118.</w:t>
      </w:r>
    </w:p>
    <w:p w14:paraId="7A8C107B"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Hennessey, B. A., &amp; Amabile, T. M. (2010). Creativity. </w:t>
      </w:r>
      <w:r w:rsidRPr="00BB7A14">
        <w:rPr>
          <w:rFonts w:ascii="Times New Roman" w:hAnsi="Times New Roman" w:cs="Times New Roman"/>
          <w:i/>
          <w:iCs/>
          <w:noProof/>
          <w:sz w:val="24"/>
          <w:szCs w:val="24"/>
        </w:rPr>
        <w:t>Annual Review of Psychology</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61</w:t>
      </w:r>
      <w:r w:rsidRPr="00BB7A14">
        <w:rPr>
          <w:rFonts w:ascii="Times New Roman" w:hAnsi="Times New Roman" w:cs="Times New Roman"/>
          <w:noProof/>
          <w:sz w:val="24"/>
          <w:szCs w:val="24"/>
        </w:rPr>
        <w:t>, 569–598. https://doi.org/10.1146/annurev.psych.093008.100416</w:t>
      </w:r>
    </w:p>
    <w:p w14:paraId="6A614268"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Herman, J., &amp; Hilton, M. (2017). </w:t>
      </w:r>
      <w:r w:rsidRPr="00BB7A14">
        <w:rPr>
          <w:rFonts w:ascii="Times New Roman" w:hAnsi="Times New Roman" w:cs="Times New Roman"/>
          <w:i/>
          <w:iCs/>
          <w:noProof/>
          <w:sz w:val="24"/>
          <w:szCs w:val="24"/>
        </w:rPr>
        <w:t>Supporting students’ college success: The role of assessment of intrapersonal and interpersonal competencies</w:t>
      </w:r>
      <w:r w:rsidRPr="00BB7A14">
        <w:rPr>
          <w:rFonts w:ascii="Times New Roman" w:hAnsi="Times New Roman" w:cs="Times New Roman"/>
          <w:noProof/>
          <w:sz w:val="24"/>
          <w:szCs w:val="24"/>
        </w:rPr>
        <w:t>. The National Academies Press.</w:t>
      </w:r>
    </w:p>
    <w:p w14:paraId="303D7636"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Heron, P., &amp; McNeil, L. (2016). Phys21: Preparing Physics Students for 21st-Century Careers. In </w:t>
      </w:r>
      <w:r w:rsidRPr="00BB7A14">
        <w:rPr>
          <w:rFonts w:ascii="Times New Roman" w:hAnsi="Times New Roman" w:cs="Times New Roman"/>
          <w:i/>
          <w:iCs/>
          <w:noProof/>
          <w:sz w:val="24"/>
          <w:szCs w:val="24"/>
        </w:rPr>
        <w:t>American Physical Society, American Association of Physics Teachers</w:t>
      </w:r>
      <w:r w:rsidRPr="00BB7A14">
        <w:rPr>
          <w:rFonts w:ascii="Times New Roman" w:hAnsi="Times New Roman" w:cs="Times New Roman"/>
          <w:noProof/>
          <w:sz w:val="24"/>
          <w:szCs w:val="24"/>
        </w:rPr>
        <w:t>. American Physical Society.</w:t>
      </w:r>
    </w:p>
    <w:p w14:paraId="40ECB4B5"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Herro, D., Quigley, C., Andrews, J., &amp; Delacruz, G. (2017). Co-Measure: developing an assessment for student collaboration in STEAM activities. </w:t>
      </w:r>
      <w:r w:rsidRPr="00BB7A14">
        <w:rPr>
          <w:rFonts w:ascii="Times New Roman" w:hAnsi="Times New Roman" w:cs="Times New Roman"/>
          <w:i/>
          <w:iCs/>
          <w:noProof/>
          <w:sz w:val="24"/>
          <w:szCs w:val="24"/>
        </w:rPr>
        <w:t>International Journal of STEM Education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4</w:t>
      </w:r>
      <w:r w:rsidRPr="00BB7A14">
        <w:rPr>
          <w:rFonts w:ascii="Times New Roman" w:hAnsi="Times New Roman" w:cs="Times New Roman"/>
          <w:noProof/>
          <w:sz w:val="24"/>
          <w:szCs w:val="24"/>
        </w:rPr>
        <w:t>(1). https://doi.org/10.1186/s40594-017-0094-z</w:t>
      </w:r>
    </w:p>
    <w:p w14:paraId="53DD5B58"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Hidayatullah, Z., Wilujeng, I., Nurhasanah, N., Gusemanto, T. G., &amp; Makhrus, M. (2021). Synthesis of the 21st Century Skills (4C) Based Physics Education Research In Indonesia. </w:t>
      </w:r>
      <w:r w:rsidRPr="00BB7A14">
        <w:rPr>
          <w:rFonts w:ascii="Times New Roman" w:hAnsi="Times New Roman" w:cs="Times New Roman"/>
          <w:i/>
          <w:iCs/>
          <w:noProof/>
          <w:sz w:val="24"/>
          <w:szCs w:val="24"/>
        </w:rPr>
        <w:t>JIPF (Jurnal Ilmu Pendidikan Fisika)</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6</w:t>
      </w:r>
      <w:r w:rsidRPr="00BB7A14">
        <w:rPr>
          <w:rFonts w:ascii="Times New Roman" w:hAnsi="Times New Roman" w:cs="Times New Roman"/>
          <w:noProof/>
          <w:sz w:val="24"/>
          <w:szCs w:val="24"/>
        </w:rPr>
        <w:t>(1), 88. https://doi.org/10.26737/jipf.v6i1.1889</w:t>
      </w:r>
    </w:p>
    <w:p w14:paraId="6E0625C5"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Jones, C., &amp; Townley, B. (2016). Misfits, Mavericks and Mainstreams: Drivers of Innovation in the Creative Industries. </w:t>
      </w:r>
      <w:r w:rsidRPr="00BB7A14">
        <w:rPr>
          <w:rFonts w:ascii="Times New Roman" w:hAnsi="Times New Roman" w:cs="Times New Roman"/>
          <w:i/>
          <w:iCs/>
          <w:noProof/>
          <w:sz w:val="24"/>
          <w:szCs w:val="24"/>
        </w:rPr>
        <w:t>Organization Studies</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37</w:t>
      </w:r>
      <w:r w:rsidRPr="00BB7A14">
        <w:rPr>
          <w:rFonts w:ascii="Times New Roman" w:hAnsi="Times New Roman" w:cs="Times New Roman"/>
          <w:noProof/>
          <w:sz w:val="24"/>
          <w:szCs w:val="24"/>
        </w:rPr>
        <w:t>(6), 751–768. https://doi.org/10.1177/0170840616647671</w:t>
      </w:r>
    </w:p>
    <w:p w14:paraId="7CE3D87F"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Joynes, C., Rossignoli, S., &amp; Fenyiwa Amonoo-Kuofi, E. (2019). </w:t>
      </w:r>
      <w:r w:rsidRPr="00BB7A14">
        <w:rPr>
          <w:rFonts w:ascii="Times New Roman" w:hAnsi="Times New Roman" w:cs="Times New Roman"/>
          <w:i/>
          <w:iCs/>
          <w:noProof/>
          <w:sz w:val="24"/>
          <w:szCs w:val="24"/>
        </w:rPr>
        <w:t xml:space="preserve">21st Century Skills: Evidence of </w:t>
      </w:r>
      <w:r w:rsidRPr="00BB7A14">
        <w:rPr>
          <w:rFonts w:ascii="Times New Roman" w:hAnsi="Times New Roman" w:cs="Times New Roman"/>
          <w:i/>
          <w:iCs/>
          <w:noProof/>
          <w:sz w:val="24"/>
          <w:szCs w:val="24"/>
        </w:rPr>
        <w:lastRenderedPageBreak/>
        <w:t>issues in definition, demand and delivery for development contexts</w:t>
      </w:r>
      <w:r w:rsidRPr="00BB7A14">
        <w:rPr>
          <w:rFonts w:ascii="Times New Roman" w:hAnsi="Times New Roman" w:cs="Times New Roman"/>
          <w:noProof/>
          <w:sz w:val="24"/>
          <w:szCs w:val="24"/>
        </w:rPr>
        <w:t>. Institute of Development Studies.</w:t>
      </w:r>
    </w:p>
    <w:p w14:paraId="4BF5698F"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Kurt, A. A., &amp; Emiroğlu, B. G. (2018). Analysis of students’ online information searching strategies, exposure to internet information pollution and cognitive absorption levels based on various variables. </w:t>
      </w:r>
      <w:r w:rsidRPr="00BB7A14">
        <w:rPr>
          <w:rFonts w:ascii="Times New Roman" w:hAnsi="Times New Roman" w:cs="Times New Roman"/>
          <w:i/>
          <w:iCs/>
          <w:noProof/>
          <w:sz w:val="24"/>
          <w:szCs w:val="24"/>
        </w:rPr>
        <w:t>Malaysia Online Journal of Educational Techology</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6</w:t>
      </w:r>
      <w:r w:rsidRPr="00BB7A14">
        <w:rPr>
          <w:rFonts w:ascii="Times New Roman" w:hAnsi="Times New Roman" w:cs="Times New Roman"/>
          <w:noProof/>
          <w:sz w:val="24"/>
          <w:szCs w:val="24"/>
        </w:rPr>
        <w:t>(1), 18–29.</w:t>
      </w:r>
    </w:p>
    <w:p w14:paraId="20DF82AB"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Laar, E. Van, Deursen, A. J. A. M. Van, &amp; Dijk, J. A. G. M. Van. (2019). The Sequential and Conditional Nature of 21st-Century Digital Skills. </w:t>
      </w:r>
      <w:r w:rsidRPr="00BB7A14">
        <w:rPr>
          <w:rFonts w:ascii="Times New Roman" w:hAnsi="Times New Roman" w:cs="Times New Roman"/>
          <w:i/>
          <w:iCs/>
          <w:noProof/>
          <w:sz w:val="24"/>
          <w:szCs w:val="24"/>
        </w:rPr>
        <w:t>International Journal of Communication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13</w:t>
      </w:r>
      <w:r w:rsidRPr="00BB7A14">
        <w:rPr>
          <w:rFonts w:ascii="Times New Roman" w:hAnsi="Times New Roman" w:cs="Times New Roman"/>
          <w:noProof/>
          <w:sz w:val="24"/>
          <w:szCs w:val="24"/>
        </w:rPr>
        <w:t>(409), 3462–3487. http://ijoc.org.</w:t>
      </w:r>
    </w:p>
    <w:p w14:paraId="39A4AD4B"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Larson, L. C., &amp; Miller, T. N. (2011). 21st Century Skills: Prepare Students for the Future. </w:t>
      </w:r>
      <w:r w:rsidRPr="00BB7A14">
        <w:rPr>
          <w:rFonts w:ascii="Times New Roman" w:hAnsi="Times New Roman" w:cs="Times New Roman"/>
          <w:i/>
          <w:iCs/>
          <w:noProof/>
          <w:sz w:val="24"/>
          <w:szCs w:val="24"/>
        </w:rPr>
        <w:t>Kappa Delta Pi Record</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47</w:t>
      </w:r>
      <w:r w:rsidRPr="00BB7A14">
        <w:rPr>
          <w:rFonts w:ascii="Times New Roman" w:hAnsi="Times New Roman" w:cs="Times New Roman"/>
          <w:noProof/>
          <w:sz w:val="24"/>
          <w:szCs w:val="24"/>
        </w:rPr>
        <w:t>(3), 121–123. https://doi.org/10.1080/00228958.2011.10516575</w:t>
      </w:r>
    </w:p>
    <w:p w14:paraId="7D98E18C"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Lubis, F. (2019). Education in the Disruption Era. </w:t>
      </w:r>
      <w:r w:rsidRPr="00BB7A14">
        <w:rPr>
          <w:rFonts w:ascii="Times New Roman" w:hAnsi="Times New Roman" w:cs="Times New Roman"/>
          <w:i/>
          <w:iCs/>
          <w:noProof/>
          <w:sz w:val="24"/>
          <w:szCs w:val="24"/>
        </w:rPr>
        <w:t>Britain International of Linguistics Arts and Education (BIoLAE) Journal</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w:t>
      </w:r>
      <w:r w:rsidRPr="00BB7A14">
        <w:rPr>
          <w:rFonts w:ascii="Times New Roman" w:hAnsi="Times New Roman" w:cs="Times New Roman"/>
          <w:noProof/>
          <w:sz w:val="24"/>
          <w:szCs w:val="24"/>
        </w:rPr>
        <w:t>(2), 183–188. https://doi.org/https://doi.org/10.33258/biolae.v1i2.85</w:t>
      </w:r>
    </w:p>
    <w:p w14:paraId="6D11A6C0"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Lukic, J. (2014). The impact of information and communication technology on decision making process in the big data era. </w:t>
      </w:r>
      <w:r w:rsidRPr="00BB7A14">
        <w:rPr>
          <w:rFonts w:ascii="Times New Roman" w:hAnsi="Times New Roman" w:cs="Times New Roman"/>
          <w:i/>
          <w:iCs/>
          <w:noProof/>
          <w:sz w:val="24"/>
          <w:szCs w:val="24"/>
        </w:rPr>
        <w:t>Megatrend Revija</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11</w:t>
      </w:r>
      <w:r w:rsidRPr="00BB7A14">
        <w:rPr>
          <w:rFonts w:ascii="Times New Roman" w:hAnsi="Times New Roman" w:cs="Times New Roman"/>
          <w:noProof/>
          <w:sz w:val="24"/>
          <w:szCs w:val="24"/>
        </w:rPr>
        <w:t>(2), 221–234. https://doi.org/10.5937/megrev1402221l</w:t>
      </w:r>
    </w:p>
    <w:p w14:paraId="59370D5B"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Mafarja, N., Zulnaidi, H., &amp; Mohd. Fadzil, H. (2022). Using Reciprocal Teaching Strategy to Improve Physics Students’ Critical Thinking Ability. </w:t>
      </w:r>
      <w:r w:rsidRPr="00BB7A14">
        <w:rPr>
          <w:rFonts w:ascii="Times New Roman" w:hAnsi="Times New Roman" w:cs="Times New Roman"/>
          <w:i/>
          <w:iCs/>
          <w:noProof/>
          <w:sz w:val="24"/>
          <w:szCs w:val="24"/>
        </w:rPr>
        <w:t>Eurasia Journal of Mathematics, Science and Technology Education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18</w:t>
      </w:r>
      <w:r w:rsidRPr="00BB7A14">
        <w:rPr>
          <w:rFonts w:ascii="Times New Roman" w:hAnsi="Times New Roman" w:cs="Times New Roman"/>
          <w:noProof/>
          <w:sz w:val="24"/>
          <w:szCs w:val="24"/>
        </w:rPr>
        <w:t>(1), 1–14. https://doi.org/10.29333/EJMSTE/11506</w:t>
      </w:r>
    </w:p>
    <w:p w14:paraId="300854C5"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Maknun, J. (2020). Implementation of Guided Inquiry Learning Model to Improve Understanding Physics Concepts and Critical Thinking Skill of Vocational High School Students. </w:t>
      </w:r>
      <w:r w:rsidRPr="00BB7A14">
        <w:rPr>
          <w:rFonts w:ascii="Times New Roman" w:hAnsi="Times New Roman" w:cs="Times New Roman"/>
          <w:i/>
          <w:iCs/>
          <w:noProof/>
          <w:sz w:val="24"/>
          <w:szCs w:val="24"/>
        </w:rPr>
        <w:t>International Education Studies</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13</w:t>
      </w:r>
      <w:r w:rsidRPr="00BB7A14">
        <w:rPr>
          <w:rFonts w:ascii="Times New Roman" w:hAnsi="Times New Roman" w:cs="Times New Roman"/>
          <w:noProof/>
          <w:sz w:val="24"/>
          <w:szCs w:val="24"/>
        </w:rPr>
        <w:t>(6), 117. https://doi.org/10.5539/ies.v13n6p117</w:t>
      </w:r>
    </w:p>
    <w:p w14:paraId="4AA8D4F2"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Moohr, M. L., Balint-Langel, K., Taylor, J. C., &amp; Rizzo, K. L. (2021). Practicing Academic Independence: Self-Regulation Strategies for Students with Emotional and Behavioral Disorders. </w:t>
      </w:r>
      <w:r w:rsidRPr="00BB7A14">
        <w:rPr>
          <w:rFonts w:ascii="Times New Roman" w:hAnsi="Times New Roman" w:cs="Times New Roman"/>
          <w:i/>
          <w:iCs/>
          <w:noProof/>
          <w:sz w:val="24"/>
          <w:szCs w:val="24"/>
        </w:rPr>
        <w:t>Beyond Behavior</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30</w:t>
      </w:r>
      <w:r w:rsidRPr="00BB7A14">
        <w:rPr>
          <w:rFonts w:ascii="Times New Roman" w:hAnsi="Times New Roman" w:cs="Times New Roman"/>
          <w:noProof/>
          <w:sz w:val="24"/>
          <w:szCs w:val="24"/>
        </w:rPr>
        <w:t>(2), 85–96. https://doi.org/10.1177/10742956211020666</w:t>
      </w:r>
    </w:p>
    <w:p w14:paraId="49FE176A"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Mumford, M. D. (2003). Where Have We Been, Where Are We Going? Taking Stock in Creativity Research. </w:t>
      </w:r>
      <w:r w:rsidRPr="00BB7A14">
        <w:rPr>
          <w:rFonts w:ascii="Times New Roman" w:hAnsi="Times New Roman" w:cs="Times New Roman"/>
          <w:i/>
          <w:iCs/>
          <w:noProof/>
          <w:sz w:val="24"/>
          <w:szCs w:val="24"/>
        </w:rPr>
        <w:t>Creativity Research Journal</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15</w:t>
      </w:r>
      <w:r w:rsidRPr="00BB7A14">
        <w:rPr>
          <w:rFonts w:ascii="Times New Roman" w:hAnsi="Times New Roman" w:cs="Times New Roman"/>
          <w:noProof/>
          <w:sz w:val="24"/>
          <w:szCs w:val="24"/>
        </w:rPr>
        <w:t>(2–3), 107–120. https://doi.org/10.1080/10400419.2003.9651403</w:t>
      </w:r>
    </w:p>
    <w:p w14:paraId="33D50CA2"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Nikolopoulou, K. (2018). Creativity and ICT: Theoretical Approaches and Perspectives in School Education. In </w:t>
      </w:r>
      <w:r w:rsidRPr="00BB7A14">
        <w:rPr>
          <w:rFonts w:ascii="Times New Roman" w:hAnsi="Times New Roman" w:cs="Times New Roman"/>
          <w:i/>
          <w:iCs/>
          <w:noProof/>
          <w:sz w:val="24"/>
          <w:szCs w:val="24"/>
        </w:rPr>
        <w:t>Research on e-Learning and ICT in Education</w:t>
      </w:r>
      <w:r w:rsidRPr="00BB7A14">
        <w:rPr>
          <w:rFonts w:ascii="Times New Roman" w:hAnsi="Times New Roman" w:cs="Times New Roman"/>
          <w:noProof/>
          <w:sz w:val="24"/>
          <w:szCs w:val="24"/>
        </w:rPr>
        <w:t>. Springer. https://doi.org/10.1007/978-3-319-95059-4</w:t>
      </w:r>
    </w:p>
    <w:p w14:paraId="0F527580"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Phillips, D. (2016). </w:t>
      </w:r>
      <w:r w:rsidRPr="00BB7A14">
        <w:rPr>
          <w:rFonts w:ascii="Times New Roman" w:hAnsi="Times New Roman" w:cs="Times New Roman"/>
          <w:i/>
          <w:iCs/>
          <w:noProof/>
          <w:sz w:val="24"/>
          <w:szCs w:val="24"/>
        </w:rPr>
        <w:t>Companion to John Dewey’s “Democracy and Education.”</w:t>
      </w:r>
      <w:r w:rsidRPr="00BB7A14">
        <w:rPr>
          <w:rFonts w:ascii="Times New Roman" w:hAnsi="Times New Roman" w:cs="Times New Roman"/>
          <w:noProof/>
          <w:sz w:val="24"/>
          <w:szCs w:val="24"/>
        </w:rPr>
        <w:t xml:space="preserve"> University of Chicago Press. https://doi.org/https://doi.org/10.7208/9780226408408</w:t>
      </w:r>
    </w:p>
    <w:p w14:paraId="69727063"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Roopa, S., &amp; Rani, M. (2012). Questionnaire Designing for a Survey. </w:t>
      </w:r>
      <w:r w:rsidRPr="00BB7A14">
        <w:rPr>
          <w:rFonts w:ascii="Times New Roman" w:hAnsi="Times New Roman" w:cs="Times New Roman"/>
          <w:i/>
          <w:iCs/>
          <w:noProof/>
          <w:sz w:val="24"/>
          <w:szCs w:val="24"/>
        </w:rPr>
        <w:t>The Journal of Indian Orthodontic Society</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46</w:t>
      </w:r>
      <w:r w:rsidRPr="00BB7A14">
        <w:rPr>
          <w:rFonts w:ascii="Times New Roman" w:hAnsi="Times New Roman" w:cs="Times New Roman"/>
          <w:noProof/>
          <w:sz w:val="24"/>
          <w:szCs w:val="24"/>
        </w:rPr>
        <w:t>(December), 273–277. https://doi.org/10.5005/jp-journals-10021-1104</w:t>
      </w:r>
    </w:p>
    <w:p w14:paraId="664E6B57"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Runco, M. A., &amp; Jaeger, G. J. (2012). The Standard Definition of Creativity. </w:t>
      </w:r>
      <w:r w:rsidRPr="00BB7A14">
        <w:rPr>
          <w:rFonts w:ascii="Times New Roman" w:hAnsi="Times New Roman" w:cs="Times New Roman"/>
          <w:i/>
          <w:iCs/>
          <w:noProof/>
          <w:sz w:val="24"/>
          <w:szCs w:val="24"/>
        </w:rPr>
        <w:t>Creativity Research Journal</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24</w:t>
      </w:r>
      <w:r w:rsidRPr="00BB7A14">
        <w:rPr>
          <w:rFonts w:ascii="Times New Roman" w:hAnsi="Times New Roman" w:cs="Times New Roman"/>
          <w:noProof/>
          <w:sz w:val="24"/>
          <w:szCs w:val="24"/>
        </w:rPr>
        <w:t>(1), 92–96. https://doi.org/10.1080/10400419.2012.650092</w:t>
      </w:r>
    </w:p>
    <w:p w14:paraId="6978DF97"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Spektor-Levy, O., Eylon, B. S., &amp; Scherz, Z. (2009). Teaching scientific communication skills in science studies: Does it make a difference? </w:t>
      </w:r>
      <w:r w:rsidRPr="00BB7A14">
        <w:rPr>
          <w:rFonts w:ascii="Times New Roman" w:hAnsi="Times New Roman" w:cs="Times New Roman"/>
          <w:i/>
          <w:iCs/>
          <w:noProof/>
          <w:sz w:val="24"/>
          <w:szCs w:val="24"/>
        </w:rPr>
        <w:t>International Journal of Science and Mathematics Education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7</w:t>
      </w:r>
      <w:r w:rsidRPr="00BB7A14">
        <w:rPr>
          <w:rFonts w:ascii="Times New Roman" w:hAnsi="Times New Roman" w:cs="Times New Roman"/>
          <w:noProof/>
          <w:sz w:val="24"/>
          <w:szCs w:val="24"/>
        </w:rPr>
        <w:t>(5), 875–903. https://doi.org/10.1007/s10763-009-9150-6</w:t>
      </w:r>
    </w:p>
    <w:p w14:paraId="5D268EC7"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Srivastava, S. (2016). ICT implementation for Education and Learning. </w:t>
      </w:r>
      <w:r w:rsidRPr="00BB7A14">
        <w:rPr>
          <w:rFonts w:ascii="Times New Roman" w:hAnsi="Times New Roman" w:cs="Times New Roman"/>
          <w:i/>
          <w:iCs/>
          <w:noProof/>
          <w:sz w:val="24"/>
          <w:szCs w:val="24"/>
        </w:rPr>
        <w:t>IOSR Journal of Research &amp; Method in Education Ver. IV</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6</w:t>
      </w:r>
      <w:r w:rsidRPr="00BB7A14">
        <w:rPr>
          <w:rFonts w:ascii="Times New Roman" w:hAnsi="Times New Roman" w:cs="Times New Roman"/>
          <w:noProof/>
          <w:sz w:val="24"/>
          <w:szCs w:val="24"/>
        </w:rPr>
        <w:t>(4), 2320–7388. https://doi.org/10.9790/7388-0604044044</w:t>
      </w:r>
    </w:p>
    <w:p w14:paraId="2B4049DA"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Thornhill-Miller, B., Camarda, A., Mercier, M., Burkhardt, J.-M., Morisseau, T., Bourgeois-Bougrine, S., Vinchon, F., El Hayek, S., Augereau-Landais, M., Mourey, F., Feybesse, C., Sundquist, D., &amp; Lubart, T. (2023). Creativity, Critical Thinking, Communication, and Collaboration: Assessment, Certification, and Promotion of 21st Century Skills for the Future of Work and Education. </w:t>
      </w:r>
      <w:r w:rsidRPr="00BB7A14">
        <w:rPr>
          <w:rFonts w:ascii="Times New Roman" w:hAnsi="Times New Roman" w:cs="Times New Roman"/>
          <w:i/>
          <w:iCs/>
          <w:noProof/>
          <w:sz w:val="24"/>
          <w:szCs w:val="24"/>
        </w:rPr>
        <w:t>Journal of Intelligence</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11</w:t>
      </w:r>
      <w:r w:rsidRPr="00BB7A14">
        <w:rPr>
          <w:rFonts w:ascii="Times New Roman" w:hAnsi="Times New Roman" w:cs="Times New Roman"/>
          <w:noProof/>
          <w:sz w:val="24"/>
          <w:szCs w:val="24"/>
        </w:rPr>
        <w:t>(3), 54. https://doi.org/10.3390/jintelligence11030054</w:t>
      </w:r>
    </w:p>
    <w:p w14:paraId="5C5DF6B4"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Tranfield, D., Denyer, D., &amp; Smart, P. (2003). Towards a Methodology for Developing Evidence-Informed Management Knowledge by Means of Systematic Review. </w:t>
      </w:r>
      <w:r w:rsidRPr="00BB7A14">
        <w:rPr>
          <w:rFonts w:ascii="Times New Roman" w:hAnsi="Times New Roman" w:cs="Times New Roman"/>
          <w:i/>
          <w:iCs/>
          <w:noProof/>
          <w:sz w:val="24"/>
          <w:szCs w:val="24"/>
        </w:rPr>
        <w:t xml:space="preserve">British Journal of </w:t>
      </w:r>
      <w:r w:rsidRPr="00BB7A14">
        <w:rPr>
          <w:rFonts w:ascii="Times New Roman" w:hAnsi="Times New Roman" w:cs="Times New Roman"/>
          <w:i/>
          <w:iCs/>
          <w:noProof/>
          <w:sz w:val="24"/>
          <w:szCs w:val="24"/>
        </w:rPr>
        <w:lastRenderedPageBreak/>
        <w:t>Management</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14</w:t>
      </w:r>
      <w:r w:rsidRPr="00BB7A14">
        <w:rPr>
          <w:rFonts w:ascii="Times New Roman" w:hAnsi="Times New Roman" w:cs="Times New Roman"/>
          <w:noProof/>
          <w:sz w:val="24"/>
          <w:szCs w:val="24"/>
        </w:rPr>
        <w:t>, 207–222. https://doi.org/10.1007/978-3-030-92836-0_28</w:t>
      </w:r>
    </w:p>
    <w:p w14:paraId="1BCE2E4F"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Voogt, J., &amp; Roblin, N. P. (2012). A comparative analysis of international frameworks for 21 st century competences: Implications for national curriculum policies. </w:t>
      </w:r>
      <w:r w:rsidRPr="00BB7A14">
        <w:rPr>
          <w:rFonts w:ascii="Times New Roman" w:hAnsi="Times New Roman" w:cs="Times New Roman"/>
          <w:i/>
          <w:iCs/>
          <w:noProof/>
          <w:sz w:val="24"/>
          <w:szCs w:val="24"/>
        </w:rPr>
        <w:t>Journal of Curriculum Studies</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44</w:t>
      </w:r>
      <w:r w:rsidRPr="00BB7A14">
        <w:rPr>
          <w:rFonts w:ascii="Times New Roman" w:hAnsi="Times New Roman" w:cs="Times New Roman"/>
          <w:noProof/>
          <w:sz w:val="24"/>
          <w:szCs w:val="24"/>
        </w:rPr>
        <w:t>(3), 299–321. https://doi.org/10.1080/00220272.2012.668938</w:t>
      </w:r>
    </w:p>
    <w:p w14:paraId="4FD35B26"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Widodo, W. (2022). Online Flipped Classroom: Developing Postgraduate Science Education Students ’ Critical Thinking Skills. </w:t>
      </w:r>
      <w:r w:rsidRPr="00BB7A14">
        <w:rPr>
          <w:rFonts w:ascii="Times New Roman" w:hAnsi="Times New Roman" w:cs="Times New Roman"/>
          <w:i/>
          <w:iCs/>
          <w:noProof/>
          <w:sz w:val="24"/>
          <w:szCs w:val="24"/>
        </w:rPr>
        <w:t>Journal of Science Learning</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5</w:t>
      </w:r>
      <w:r w:rsidRPr="00BB7A14">
        <w:rPr>
          <w:rFonts w:ascii="Times New Roman" w:hAnsi="Times New Roman" w:cs="Times New Roman"/>
          <w:noProof/>
          <w:sz w:val="24"/>
          <w:szCs w:val="24"/>
        </w:rPr>
        <w:t>(2). https://doi.org/10.17509/jsl.v5i3.43107</w:t>
      </w:r>
    </w:p>
    <w:p w14:paraId="7A5CA175"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7A14">
        <w:rPr>
          <w:rFonts w:ascii="Times New Roman" w:hAnsi="Times New Roman" w:cs="Times New Roman"/>
          <w:noProof/>
          <w:sz w:val="24"/>
          <w:szCs w:val="24"/>
        </w:rPr>
        <w:t xml:space="preserve">Yaki, A. A. (2022). Fostering Critical Thinking Skills Using Integrated STEM Approach among Secondary School Biology Students. </w:t>
      </w:r>
      <w:r w:rsidRPr="00BB7A14">
        <w:rPr>
          <w:rFonts w:ascii="Times New Roman" w:hAnsi="Times New Roman" w:cs="Times New Roman"/>
          <w:i/>
          <w:iCs/>
          <w:noProof/>
          <w:sz w:val="24"/>
          <w:szCs w:val="24"/>
        </w:rPr>
        <w:t>European Journal of STEM Education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7</w:t>
      </w:r>
      <w:r w:rsidRPr="00BB7A14">
        <w:rPr>
          <w:rFonts w:ascii="Times New Roman" w:hAnsi="Times New Roman" w:cs="Times New Roman"/>
          <w:noProof/>
          <w:sz w:val="24"/>
          <w:szCs w:val="24"/>
        </w:rPr>
        <w:t>(1), 06. https://doi.org/10.20897/ejsteme/12481</w:t>
      </w:r>
    </w:p>
    <w:p w14:paraId="4EAB11D8" w14:textId="77777777" w:rsidR="00BB7A14" w:rsidRPr="00BB7A14" w:rsidRDefault="00BB7A14" w:rsidP="00BB7A1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B7A14">
        <w:rPr>
          <w:rFonts w:ascii="Times New Roman" w:hAnsi="Times New Roman" w:cs="Times New Roman"/>
          <w:noProof/>
          <w:sz w:val="24"/>
          <w:szCs w:val="24"/>
        </w:rPr>
        <w:t xml:space="preserve">Yu, A. Y., Tian, S. W., Vogel, D., &amp; Chi-Wai Kwok, R. (2010). Can learning be virtually boosted? An investigation of online social networking impacts. </w:t>
      </w:r>
      <w:r w:rsidRPr="00BB7A14">
        <w:rPr>
          <w:rFonts w:ascii="Times New Roman" w:hAnsi="Times New Roman" w:cs="Times New Roman"/>
          <w:i/>
          <w:iCs/>
          <w:noProof/>
          <w:sz w:val="24"/>
          <w:szCs w:val="24"/>
        </w:rPr>
        <w:t>Computers and Education</w:t>
      </w:r>
      <w:r w:rsidRPr="00BB7A14">
        <w:rPr>
          <w:rFonts w:ascii="Times New Roman" w:hAnsi="Times New Roman" w:cs="Times New Roman"/>
          <w:noProof/>
          <w:sz w:val="24"/>
          <w:szCs w:val="24"/>
        </w:rPr>
        <w:t xml:space="preserve">, </w:t>
      </w:r>
      <w:r w:rsidRPr="00BB7A14">
        <w:rPr>
          <w:rFonts w:ascii="Times New Roman" w:hAnsi="Times New Roman" w:cs="Times New Roman"/>
          <w:i/>
          <w:iCs/>
          <w:noProof/>
          <w:sz w:val="24"/>
          <w:szCs w:val="24"/>
        </w:rPr>
        <w:t>55</w:t>
      </w:r>
      <w:r w:rsidRPr="00BB7A14">
        <w:rPr>
          <w:rFonts w:ascii="Times New Roman" w:hAnsi="Times New Roman" w:cs="Times New Roman"/>
          <w:noProof/>
          <w:sz w:val="24"/>
          <w:szCs w:val="24"/>
        </w:rPr>
        <w:t>(4), 1494–1503. https://doi.org/10.1016/j.compedu.2010.06.015</w:t>
      </w:r>
    </w:p>
    <w:p w14:paraId="06E40304" w14:textId="3E18CAC4" w:rsidR="000332EF" w:rsidRPr="00451C94" w:rsidRDefault="000332EF" w:rsidP="000332EF">
      <w:pPr>
        <w:pStyle w:val="Default"/>
        <w:spacing w:line="276" w:lineRule="auto"/>
        <w:ind w:left="720" w:hanging="720"/>
        <w:jc w:val="both"/>
        <w:rPr>
          <w:rFonts w:cs="Times New Roman"/>
          <w:noProof/>
        </w:rPr>
      </w:pPr>
      <w:r>
        <w:rPr>
          <w:rFonts w:cs="Times New Roman"/>
          <w:noProof/>
        </w:rPr>
        <w:fldChar w:fldCharType="end"/>
      </w:r>
    </w:p>
    <w:sectPr w:rsidR="000332EF" w:rsidRPr="00451C94" w:rsidSect="00C53505">
      <w:headerReference w:type="default" r:id="rId13"/>
      <w:footerReference w:type="default" r:id="rId14"/>
      <w:pgSz w:w="11906" w:h="16838" w:code="9"/>
      <w:pgMar w:top="1411" w:right="1138" w:bottom="1138" w:left="1411"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194E" w14:textId="77777777" w:rsidR="00310582" w:rsidRDefault="00310582" w:rsidP="00451C94">
      <w:pPr>
        <w:spacing w:after="0" w:line="240" w:lineRule="auto"/>
      </w:pPr>
      <w:r>
        <w:separator/>
      </w:r>
    </w:p>
  </w:endnote>
  <w:endnote w:type="continuationSeparator" w:id="0">
    <w:p w14:paraId="59016BCB" w14:textId="77777777" w:rsidR="00310582" w:rsidRDefault="00310582" w:rsidP="004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93976931"/>
      <w:docPartObj>
        <w:docPartGallery w:val="Page Numbers (Bottom of Page)"/>
        <w:docPartUnique/>
      </w:docPartObj>
    </w:sdtPr>
    <w:sdtEndPr>
      <w:rPr>
        <w:noProof/>
        <w:sz w:val="22"/>
        <w:szCs w:val="22"/>
      </w:rPr>
    </w:sdtEndPr>
    <w:sdtContent>
      <w:p w14:paraId="12E5E1B2" w14:textId="29ACF849" w:rsidR="00451C94" w:rsidRPr="00C53505" w:rsidRDefault="00451C94" w:rsidP="00412DF2">
        <w:pPr>
          <w:pStyle w:val="Footer"/>
          <w:jc w:val="center"/>
          <w:rPr>
            <w:rFonts w:ascii="Times New Roman" w:hAnsi="Times New Roman" w:cs="Times New Roman"/>
          </w:rPr>
        </w:pPr>
        <w:r w:rsidRPr="00C53505">
          <w:rPr>
            <w:rFonts w:ascii="Times New Roman" w:hAnsi="Times New Roman" w:cs="Times New Roman"/>
          </w:rPr>
          <w:fldChar w:fldCharType="begin"/>
        </w:r>
        <w:r w:rsidRPr="00C53505">
          <w:rPr>
            <w:rFonts w:ascii="Times New Roman" w:hAnsi="Times New Roman" w:cs="Times New Roman"/>
          </w:rPr>
          <w:instrText xml:space="preserve"> PAGE   \* MERGEFORMAT </w:instrText>
        </w:r>
        <w:r w:rsidRPr="00C53505">
          <w:rPr>
            <w:rFonts w:ascii="Times New Roman" w:hAnsi="Times New Roman" w:cs="Times New Roman"/>
          </w:rPr>
          <w:fldChar w:fldCharType="separate"/>
        </w:r>
        <w:r w:rsidR="00FA7FB7" w:rsidRPr="00C53505">
          <w:rPr>
            <w:rFonts w:ascii="Times New Roman" w:hAnsi="Times New Roman" w:cs="Times New Roman"/>
            <w:noProof/>
          </w:rPr>
          <w:t>4</w:t>
        </w:r>
        <w:r w:rsidRPr="00C5350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B035" w14:textId="77777777" w:rsidR="00310582" w:rsidRDefault="00310582" w:rsidP="00451C94">
      <w:pPr>
        <w:spacing w:after="0" w:line="240" w:lineRule="auto"/>
      </w:pPr>
      <w:r>
        <w:separator/>
      </w:r>
    </w:p>
  </w:footnote>
  <w:footnote w:type="continuationSeparator" w:id="0">
    <w:p w14:paraId="01C03409" w14:textId="77777777" w:rsidR="00310582" w:rsidRDefault="00310582" w:rsidP="0045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2C88" w14:textId="77777777" w:rsidR="00451C94" w:rsidRDefault="00451C94" w:rsidP="00451C94">
    <w:pPr>
      <w:pStyle w:val="Header"/>
      <w:tabs>
        <w:tab w:val="left" w:pos="2992"/>
      </w:tabs>
      <w:rPr>
        <w:rFonts w:ascii="Times New Roman" w:hAnsi="Times New Roman" w:cs="Times New Roman"/>
        <w:noProof/>
        <w:sz w:val="24"/>
        <w:u w:val="single"/>
      </w:rPr>
    </w:pPr>
  </w:p>
  <w:p w14:paraId="52A5233D" w14:textId="5CB99897" w:rsidR="00451C94" w:rsidRPr="00395A6F" w:rsidRDefault="00451C94" w:rsidP="00451C94">
    <w:pPr>
      <w:pStyle w:val="Header"/>
      <w:tabs>
        <w:tab w:val="left" w:pos="2992"/>
      </w:tabs>
      <w:rPr>
        <w:rFonts w:ascii="Times New Roman" w:hAnsi="Times New Roman" w:cs="Times New Roman"/>
        <w:sz w:val="24"/>
        <w:u w:val="single"/>
        <w:lang w:val="en-US"/>
      </w:rPr>
    </w:pPr>
    <w:r w:rsidRPr="00451C94">
      <w:rPr>
        <w:rFonts w:ascii="Times New Roman" w:hAnsi="Times New Roman" w:cs="Times New Roman"/>
        <w:noProof/>
        <w:sz w:val="24"/>
        <w:u w:val="single"/>
      </w:rPr>
      <w:t>SPEKTRA: Jurnal Pendidikan dan Kajian Sains</w:t>
    </w:r>
    <w:r w:rsidRPr="00451C94">
      <w:rPr>
        <w:rFonts w:ascii="Times New Roman" w:hAnsi="Times New Roman" w:cs="Times New Roman"/>
        <w:sz w:val="24"/>
        <w:u w:val="single"/>
      </w:rPr>
      <w:t xml:space="preserve">, Vol. </w:t>
    </w:r>
    <w:r w:rsidR="00EE536C" w:rsidRPr="00EE536C">
      <w:rPr>
        <w:rFonts w:ascii="Times New Roman" w:hAnsi="Times New Roman" w:cs="Times New Roman"/>
        <w:sz w:val="24"/>
        <w:u w:val="single"/>
        <w:lang w:val="sv-SE"/>
      </w:rPr>
      <w:t>9</w:t>
    </w:r>
    <w:r w:rsidRPr="00451C94">
      <w:rPr>
        <w:rFonts w:ascii="Times New Roman" w:hAnsi="Times New Roman" w:cs="Times New Roman"/>
        <w:sz w:val="24"/>
        <w:u w:val="single"/>
      </w:rPr>
      <w:t xml:space="preserve">, No. </w:t>
    </w:r>
    <w:r w:rsidR="00EE536C" w:rsidRPr="00EE536C">
      <w:rPr>
        <w:rFonts w:ascii="Times New Roman" w:hAnsi="Times New Roman" w:cs="Times New Roman"/>
        <w:sz w:val="24"/>
        <w:u w:val="single"/>
        <w:lang w:val="sv-SE"/>
      </w:rPr>
      <w:t>1</w:t>
    </w:r>
    <w:r w:rsidRPr="00451C94">
      <w:rPr>
        <w:rFonts w:ascii="Times New Roman" w:hAnsi="Times New Roman" w:cs="Times New Roman"/>
        <w:sz w:val="24"/>
        <w:u w:val="single"/>
      </w:rPr>
      <w:t xml:space="preserve">, </w:t>
    </w:r>
    <w:r w:rsidR="00EE536C">
      <w:rPr>
        <w:rFonts w:ascii="Times New Roman" w:hAnsi="Times New Roman" w:cs="Times New Roman"/>
        <w:sz w:val="24"/>
        <w:u w:val="single"/>
        <w:lang w:val="en-US"/>
      </w:rPr>
      <w:t>2023</w:t>
    </w:r>
    <w:r w:rsidRPr="00451C94">
      <w:rPr>
        <w:rFonts w:ascii="Times New Roman" w:hAnsi="Times New Roman" w:cs="Times New Roman"/>
        <w:sz w:val="24"/>
        <w:u w:val="single"/>
      </w:rPr>
      <w:t>: pp. 1</w:t>
    </w:r>
    <w:r w:rsidR="00395A6F">
      <w:rPr>
        <w:rFonts w:ascii="Times New Roman" w:hAnsi="Times New Roman" w:cs="Times New Roman"/>
        <w:sz w:val="24"/>
        <w:u w:val="single"/>
        <w:lang w:val="en-US"/>
      </w:rPr>
      <w:t>12</w:t>
    </w:r>
    <w:r w:rsidRPr="00451C94">
      <w:rPr>
        <w:rFonts w:ascii="Times New Roman" w:hAnsi="Times New Roman" w:cs="Times New Roman"/>
        <w:sz w:val="24"/>
        <w:u w:val="single"/>
      </w:rPr>
      <w:t>~1</w:t>
    </w:r>
    <w:r w:rsidR="00395A6F">
      <w:rPr>
        <w:rFonts w:ascii="Times New Roman" w:hAnsi="Times New Roman" w:cs="Times New Roman"/>
        <w:sz w:val="24"/>
        <w:u w:val="single"/>
        <w:lang w:val="en-US"/>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97811"/>
    <w:multiLevelType w:val="hybridMultilevel"/>
    <w:tmpl w:val="00B685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B0A3B17"/>
    <w:multiLevelType w:val="hybridMultilevel"/>
    <w:tmpl w:val="5E241272"/>
    <w:lvl w:ilvl="0" w:tplc="26A01040">
      <w:start w:val="1"/>
      <w:numFmt w:val="decimal"/>
      <w:lvlText w:val="%1."/>
      <w:lvlJc w:val="left"/>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36542">
    <w:abstractNumId w:val="2"/>
  </w:num>
  <w:num w:numId="2" w16cid:durableId="1999918121">
    <w:abstractNumId w:val="0"/>
  </w:num>
  <w:num w:numId="3" w16cid:durableId="1506356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94"/>
    <w:rsid w:val="00025239"/>
    <w:rsid w:val="0003041F"/>
    <w:rsid w:val="000332EF"/>
    <w:rsid w:val="00064D97"/>
    <w:rsid w:val="00102863"/>
    <w:rsid w:val="001123A5"/>
    <w:rsid w:val="0013538B"/>
    <w:rsid w:val="0014517F"/>
    <w:rsid w:val="00193218"/>
    <w:rsid w:val="001D08F3"/>
    <w:rsid w:val="001D5AAB"/>
    <w:rsid w:val="001E3A68"/>
    <w:rsid w:val="001F1371"/>
    <w:rsid w:val="00205C5C"/>
    <w:rsid w:val="00206242"/>
    <w:rsid w:val="0020752A"/>
    <w:rsid w:val="0021364D"/>
    <w:rsid w:val="002277AA"/>
    <w:rsid w:val="00265A8A"/>
    <w:rsid w:val="0028023C"/>
    <w:rsid w:val="002927BD"/>
    <w:rsid w:val="002A7091"/>
    <w:rsid w:val="002B37E8"/>
    <w:rsid w:val="002C086C"/>
    <w:rsid w:val="00310582"/>
    <w:rsid w:val="003528B1"/>
    <w:rsid w:val="00363167"/>
    <w:rsid w:val="00393CD3"/>
    <w:rsid w:val="00395A6F"/>
    <w:rsid w:val="003A644D"/>
    <w:rsid w:val="003C4077"/>
    <w:rsid w:val="003D1C07"/>
    <w:rsid w:val="003E63B8"/>
    <w:rsid w:val="00412DF2"/>
    <w:rsid w:val="00451C94"/>
    <w:rsid w:val="004A1716"/>
    <w:rsid w:val="0050120B"/>
    <w:rsid w:val="005263BD"/>
    <w:rsid w:val="00551715"/>
    <w:rsid w:val="00583ACF"/>
    <w:rsid w:val="005B0193"/>
    <w:rsid w:val="005B0DA7"/>
    <w:rsid w:val="005D0BBC"/>
    <w:rsid w:val="005F545A"/>
    <w:rsid w:val="00652E7F"/>
    <w:rsid w:val="00660539"/>
    <w:rsid w:val="00663507"/>
    <w:rsid w:val="00663F0E"/>
    <w:rsid w:val="00684338"/>
    <w:rsid w:val="006A6872"/>
    <w:rsid w:val="006C2549"/>
    <w:rsid w:val="006F4D27"/>
    <w:rsid w:val="006F719C"/>
    <w:rsid w:val="0071692C"/>
    <w:rsid w:val="0072313A"/>
    <w:rsid w:val="00767EB5"/>
    <w:rsid w:val="007753ED"/>
    <w:rsid w:val="007762FE"/>
    <w:rsid w:val="00806131"/>
    <w:rsid w:val="00810F4E"/>
    <w:rsid w:val="008304D0"/>
    <w:rsid w:val="008326FA"/>
    <w:rsid w:val="00846F12"/>
    <w:rsid w:val="0087358F"/>
    <w:rsid w:val="008A2EF3"/>
    <w:rsid w:val="008B3F2C"/>
    <w:rsid w:val="009139B7"/>
    <w:rsid w:val="0095418E"/>
    <w:rsid w:val="009571F1"/>
    <w:rsid w:val="00983C8E"/>
    <w:rsid w:val="009C15DA"/>
    <w:rsid w:val="00A16913"/>
    <w:rsid w:val="00A170D9"/>
    <w:rsid w:val="00A178F5"/>
    <w:rsid w:val="00A2672D"/>
    <w:rsid w:val="00A73556"/>
    <w:rsid w:val="00AD75C9"/>
    <w:rsid w:val="00AD7A0F"/>
    <w:rsid w:val="00AE526B"/>
    <w:rsid w:val="00B14611"/>
    <w:rsid w:val="00B53062"/>
    <w:rsid w:val="00B84CB5"/>
    <w:rsid w:val="00BB7A14"/>
    <w:rsid w:val="00BD080E"/>
    <w:rsid w:val="00BE2055"/>
    <w:rsid w:val="00C01140"/>
    <w:rsid w:val="00C27002"/>
    <w:rsid w:val="00C36099"/>
    <w:rsid w:val="00C40C7A"/>
    <w:rsid w:val="00C443C3"/>
    <w:rsid w:val="00C45233"/>
    <w:rsid w:val="00C47926"/>
    <w:rsid w:val="00C51E73"/>
    <w:rsid w:val="00C53505"/>
    <w:rsid w:val="00C877E9"/>
    <w:rsid w:val="00C92614"/>
    <w:rsid w:val="00D04723"/>
    <w:rsid w:val="00D05FDB"/>
    <w:rsid w:val="00D474F9"/>
    <w:rsid w:val="00D511FD"/>
    <w:rsid w:val="00D57B07"/>
    <w:rsid w:val="00D57F6A"/>
    <w:rsid w:val="00D73473"/>
    <w:rsid w:val="00D93839"/>
    <w:rsid w:val="00DD2EAC"/>
    <w:rsid w:val="00DE6696"/>
    <w:rsid w:val="00E169C4"/>
    <w:rsid w:val="00E24A96"/>
    <w:rsid w:val="00E8442D"/>
    <w:rsid w:val="00E900AB"/>
    <w:rsid w:val="00EA7DF8"/>
    <w:rsid w:val="00EB58F8"/>
    <w:rsid w:val="00EE536C"/>
    <w:rsid w:val="00F26FED"/>
    <w:rsid w:val="00F32BA1"/>
    <w:rsid w:val="00F45A6A"/>
    <w:rsid w:val="00F61A63"/>
    <w:rsid w:val="00F62B6E"/>
    <w:rsid w:val="00F801AB"/>
    <w:rsid w:val="00F84C83"/>
    <w:rsid w:val="00F86308"/>
    <w:rsid w:val="00FA7FB7"/>
    <w:rsid w:val="00FB0F26"/>
    <w:rsid w:val="00FB44C4"/>
    <w:rsid w:val="00FB756B"/>
    <w:rsid w:val="00FD16DF"/>
    <w:rsid w:val="00FD4F5B"/>
    <w:rsid w:val="00FE6271"/>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3DF5"/>
  <w15:chartTrackingRefBased/>
  <w15:docId w15:val="{2BB6651C-6B9B-40F2-88DA-CD37E9F7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1C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1C94"/>
    <w:rPr>
      <w:color w:val="0000FF"/>
      <w:u w:val="single"/>
    </w:rPr>
  </w:style>
  <w:style w:type="paragraph" w:styleId="Title">
    <w:name w:val="Title"/>
    <w:basedOn w:val="Normal"/>
    <w:link w:val="TitleChar"/>
    <w:qFormat/>
    <w:rsid w:val="00451C9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51C94"/>
    <w:rPr>
      <w:rFonts w:ascii="Times New Roman" w:eastAsia="Times New Roman" w:hAnsi="Times New Roman" w:cs="Times New Roman"/>
      <w:b/>
      <w:bCs/>
      <w:sz w:val="28"/>
      <w:szCs w:val="24"/>
      <w:lang w:val="id-ID"/>
    </w:rPr>
  </w:style>
  <w:style w:type="paragraph" w:styleId="Header">
    <w:name w:val="header"/>
    <w:basedOn w:val="Normal"/>
    <w:link w:val="HeaderChar"/>
    <w:unhideWhenUsed/>
    <w:rsid w:val="00451C94"/>
    <w:pPr>
      <w:tabs>
        <w:tab w:val="center" w:pos="4513"/>
        <w:tab w:val="right" w:pos="9026"/>
      </w:tabs>
      <w:spacing w:after="0" w:line="240" w:lineRule="auto"/>
    </w:pPr>
  </w:style>
  <w:style w:type="character" w:customStyle="1" w:styleId="HeaderChar">
    <w:name w:val="Header Char"/>
    <w:basedOn w:val="DefaultParagraphFont"/>
    <w:link w:val="Header"/>
    <w:rsid w:val="00451C94"/>
    <w:rPr>
      <w:lang w:val="id-ID"/>
    </w:rPr>
  </w:style>
  <w:style w:type="paragraph" w:styleId="Footer">
    <w:name w:val="footer"/>
    <w:basedOn w:val="Normal"/>
    <w:link w:val="FooterChar"/>
    <w:uiPriority w:val="99"/>
    <w:unhideWhenUsed/>
    <w:rsid w:val="0045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C94"/>
    <w:rPr>
      <w:lang w:val="id-ID"/>
    </w:rPr>
  </w:style>
  <w:style w:type="paragraph" w:customStyle="1" w:styleId="Default">
    <w:name w:val="Default"/>
    <w:rsid w:val="00451C94"/>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apple-style-span">
    <w:name w:val="apple-style-span"/>
    <w:basedOn w:val="DefaultParagraphFont"/>
    <w:rsid w:val="00451C94"/>
  </w:style>
  <w:style w:type="character" w:customStyle="1" w:styleId="fontstyle01">
    <w:name w:val="fontstyle01"/>
    <w:basedOn w:val="DefaultParagraphFont"/>
    <w:rsid w:val="00451C9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451C9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810F4E"/>
    <w:rPr>
      <w:color w:val="605E5C"/>
      <w:shd w:val="clear" w:color="auto" w:fill="E1DFDD"/>
    </w:rPr>
  </w:style>
  <w:style w:type="character" w:styleId="UnresolvedMention">
    <w:name w:val="Unresolved Mention"/>
    <w:basedOn w:val="DefaultParagraphFont"/>
    <w:uiPriority w:val="99"/>
    <w:semiHidden/>
    <w:unhideWhenUsed/>
    <w:rsid w:val="000332EF"/>
    <w:rPr>
      <w:color w:val="605E5C"/>
      <w:shd w:val="clear" w:color="auto" w:fill="E1DFDD"/>
    </w:rPr>
  </w:style>
  <w:style w:type="paragraph" w:styleId="ListParagraph">
    <w:name w:val="List Paragraph"/>
    <w:aliases w:val="Body of text,List Paragraph1,Body of text+1,Body of text+2,Body of text+3,List Paragraph11,Medium Grid 1 - Accent 21,Heading 1 Char1"/>
    <w:basedOn w:val="Normal"/>
    <w:link w:val="ListParagraphChar"/>
    <w:uiPriority w:val="34"/>
    <w:qFormat/>
    <w:rsid w:val="006F4D27"/>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Heading 1 Char1 Char"/>
    <w:basedOn w:val="DefaultParagraphFont"/>
    <w:link w:val="ListParagraph"/>
    <w:uiPriority w:val="34"/>
    <w:locked/>
    <w:rsid w:val="001E3A68"/>
    <w:rPr>
      <w:lang w:val="id-ID"/>
    </w:rPr>
  </w:style>
  <w:style w:type="table" w:customStyle="1" w:styleId="TableGrid1">
    <w:name w:val="Table Grid1"/>
    <w:basedOn w:val="TableNormal"/>
    <w:next w:val="TableGrid"/>
    <w:uiPriority w:val="39"/>
    <w:rsid w:val="00A73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JURNAL%20SPEKTRA\Firdaus%20Spektra\hasil%20peneliti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400" b="1" i="0" u="none" strike="noStrike" baseline="0">
                <a:effectLst/>
              </a:rPr>
              <a:t>Digital 4C Skills</a:t>
            </a:r>
            <a:r>
              <a:rPr lang="id-ID" sz="1400" b="0" i="0" u="none" strike="noStrike" baseline="0"/>
              <a:t> </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Sheet1!$B$23</c:f>
              <c:strCache>
                <c:ptCount val="1"/>
                <c:pt idx="0">
                  <c:v>Score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Sheet1!$A$24:$A$27</c:f>
              <c:strCache>
                <c:ptCount val="4"/>
                <c:pt idx="0">
                  <c:v>Critical Thinking Digital Skills</c:v>
                </c:pt>
                <c:pt idx="1">
                  <c:v>Creative Digital Skills</c:v>
                </c:pt>
                <c:pt idx="2">
                  <c:v>Collaboration Digital Skills</c:v>
                </c:pt>
                <c:pt idx="3">
                  <c:v>Communication Digital Skills</c:v>
                </c:pt>
              </c:strCache>
            </c:strRef>
          </c:cat>
          <c:val>
            <c:numRef>
              <c:f>Sheet1!$B$24:$B$27</c:f>
              <c:numCache>
                <c:formatCode>0.00%</c:formatCode>
                <c:ptCount val="4"/>
                <c:pt idx="0">
                  <c:v>0.61660000000000004</c:v>
                </c:pt>
                <c:pt idx="1">
                  <c:v>0.57350000000000001</c:v>
                </c:pt>
                <c:pt idx="2">
                  <c:v>0.72199999999999998</c:v>
                </c:pt>
                <c:pt idx="3">
                  <c:v>0.6923999999999999</c:v>
                </c:pt>
              </c:numCache>
            </c:numRef>
          </c:val>
          <c:extLst>
            <c:ext xmlns:c16="http://schemas.microsoft.com/office/drawing/2014/chart" uri="{C3380CC4-5D6E-409C-BE32-E72D297353CC}">
              <c16:uniqueId val="{00000000-E58F-4319-BC97-16C99B655D41}"/>
            </c:ext>
          </c:extLst>
        </c:ser>
        <c:dLbls>
          <c:dLblPos val="outEnd"/>
          <c:showLegendKey val="0"/>
          <c:showVal val="1"/>
          <c:showCatName val="0"/>
          <c:showSerName val="0"/>
          <c:showPercent val="0"/>
          <c:showBubbleSize val="0"/>
        </c:dLbls>
        <c:gapWidth val="219"/>
        <c:overlap val="-27"/>
        <c:axId val="1788075023"/>
        <c:axId val="1788084143"/>
      </c:barChart>
      <c:catAx>
        <c:axId val="1788075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084143"/>
        <c:crosses val="autoZero"/>
        <c:auto val="1"/>
        <c:lblAlgn val="ctr"/>
        <c:lblOffset val="100"/>
        <c:noMultiLvlLbl val="0"/>
      </c:catAx>
      <c:valAx>
        <c:axId val="17880841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075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7D73-3F59-4FB8-99A3-5DC1DEE3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21908</Words>
  <Characters>124879</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dc:creator>
  <cp:keywords/>
  <dc:description/>
  <cp:lastModifiedBy>author</cp:lastModifiedBy>
  <cp:revision>4</cp:revision>
  <cp:lastPrinted>2023-04-30T14:35:00Z</cp:lastPrinted>
  <dcterms:created xsi:type="dcterms:W3CDTF">2023-04-28T03:40:00Z</dcterms:created>
  <dcterms:modified xsi:type="dcterms:W3CDTF">2023-04-30T14:36:00Z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http://csl.mendeley.com/styles/504132361/vancouver</vt:lpwstr>
  </property>
  <property fmtid="{D5CDD505-2E9C-101B-9397-08002B2CF9AE}" pid="21" name="Mendeley Recent Style Name 9_1">
    <vt:lpwstr>Vancouver - Firdaus Firdaus</vt:lpwstr>
  </property>
  <property fmtid="{D5CDD505-2E9C-101B-9397-08002B2CF9AE}" pid="22" name="Mendeley Document_1">
    <vt:lpwstr>True</vt:lpwstr>
  </property>
  <property fmtid="{D5CDD505-2E9C-101B-9397-08002B2CF9AE}" pid="23" name="Mendeley Unique User Id_1">
    <vt:lpwstr>48fa46ea-1457-31e4-8a41-9f4e084c0c69</vt:lpwstr>
  </property>
  <property fmtid="{D5CDD505-2E9C-101B-9397-08002B2CF9AE}" pid="24" name="Mendeley Citation Style_1">
    <vt:lpwstr>http://www.zotero.org/styles/apa</vt:lpwstr>
  </property>
</Properties>
</file>